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Style w:val="23"/>
          <w:rFonts w:ascii="宋体" w:hAnsi="宋体" w:eastAsia="宋体"/>
          <w:b w:val="0"/>
          <w:sz w:val="28"/>
          <w:szCs w:val="28"/>
        </w:rPr>
      </w:pPr>
      <w:r>
        <w:rPr>
          <w:rStyle w:val="23"/>
          <w:rFonts w:hint="eastAsia" w:ascii="宋体" w:hAnsi="宋体" w:eastAsia="宋体"/>
          <w:b w:val="0"/>
          <w:sz w:val="28"/>
          <w:szCs w:val="28"/>
        </w:rPr>
        <w:t>附件</w:t>
      </w:r>
      <w:r>
        <w:rPr>
          <w:rStyle w:val="23"/>
          <w:rFonts w:hint="eastAsia" w:ascii="宋体" w:hAnsi="宋体" w:eastAsia="宋体"/>
          <w:b w:val="0"/>
          <w:sz w:val="28"/>
          <w:szCs w:val="28"/>
          <w:lang w:val="en-US" w:eastAsia="zh-CN"/>
        </w:rPr>
        <w:t>1-报价表</w:t>
      </w:r>
      <w:r>
        <w:rPr>
          <w:rStyle w:val="23"/>
          <w:rFonts w:hint="eastAsia" w:ascii="宋体" w:hAnsi="宋体" w:eastAsia="宋体"/>
          <w:b w:val="0"/>
          <w:sz w:val="28"/>
          <w:szCs w:val="28"/>
        </w:rPr>
        <w:t xml:space="preserve">：      </w:t>
      </w:r>
    </w:p>
    <w:p>
      <w:pPr>
        <w:jc w:val="center"/>
        <w:rPr>
          <w:rFonts w:hint="eastAsia"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color w:val="333333"/>
          <w:sz w:val="32"/>
          <w:szCs w:val="32"/>
          <w:lang w:val="en-US" w:eastAsia="zh-CN"/>
        </w:rPr>
        <w:t>采购项目</w:t>
      </w:r>
      <w:r>
        <w:rPr>
          <w:rFonts w:hint="default" w:asciiTheme="majorEastAsia" w:hAnsiTheme="majorEastAsia" w:eastAsiaTheme="majorEastAsia" w:cstheme="majorEastAsia"/>
          <w:b/>
          <w:bCs/>
          <w:color w:val="333333"/>
          <w:sz w:val="32"/>
          <w:szCs w:val="32"/>
          <w:lang w:val="en-US" w:eastAsia="zh-CN"/>
        </w:rPr>
        <w:t>“</w:t>
      </w:r>
      <w:r>
        <w:rPr>
          <w:rFonts w:hint="eastAsia" w:asciiTheme="majorEastAsia" w:hAnsiTheme="majorEastAsia" w:eastAsiaTheme="majorEastAsia" w:cstheme="majorEastAsia"/>
          <w:b/>
          <w:bCs/>
          <w:color w:val="333333"/>
          <w:sz w:val="32"/>
          <w:szCs w:val="32"/>
          <w:lang w:val="en-US" w:eastAsia="zh-CN"/>
        </w:rPr>
        <w:t>现代护理学院口腔护理实验室建设</w:t>
      </w:r>
      <w:r>
        <w:rPr>
          <w:rFonts w:hint="default" w:asciiTheme="majorEastAsia" w:hAnsiTheme="majorEastAsia" w:eastAsiaTheme="majorEastAsia" w:cstheme="majorEastAsia"/>
          <w:b/>
          <w:bCs/>
          <w:color w:val="333333"/>
          <w:sz w:val="32"/>
          <w:szCs w:val="32"/>
          <w:lang w:val="en-US" w:eastAsia="zh-CN"/>
        </w:rPr>
        <w:t>”招标控制价</w:t>
      </w:r>
      <w:r>
        <w:rPr>
          <w:rFonts w:hint="eastAsia" w:asciiTheme="majorEastAsia" w:hAnsiTheme="majorEastAsia" w:eastAsiaTheme="majorEastAsia" w:cstheme="majorEastAsia"/>
          <w:b/>
          <w:bCs/>
          <w:color w:val="333333"/>
          <w:sz w:val="32"/>
          <w:szCs w:val="32"/>
        </w:rPr>
        <w:t>报</w:t>
      </w:r>
      <w:r>
        <w:rPr>
          <w:rFonts w:hint="eastAsia" w:asciiTheme="majorEastAsia" w:hAnsiTheme="majorEastAsia" w:eastAsiaTheme="majorEastAsia" w:cstheme="majorEastAsia"/>
          <w:b/>
          <w:bCs/>
          <w:sz w:val="32"/>
          <w:szCs w:val="32"/>
        </w:rPr>
        <w:t>价表</w:t>
      </w:r>
    </w:p>
    <w:p>
      <w:pPr>
        <w:jc w:val="center"/>
        <w:rPr>
          <w:rFonts w:hint="eastAsia" w:ascii="楷体" w:hAnsi="楷体" w:eastAsia="楷体" w:cs="仿宋_GB2312"/>
          <w:sz w:val="24"/>
          <w:szCs w:val="24"/>
        </w:rPr>
      </w:pPr>
      <w:r>
        <w:rPr>
          <w:rFonts w:hint="eastAsia" w:ascii="楷体" w:hAnsi="楷体" w:eastAsia="楷体" w:cs="仿宋_GB2312"/>
          <w:sz w:val="24"/>
          <w:szCs w:val="24"/>
        </w:rPr>
        <w:t>（有效报价时间：自发出之日起至202</w:t>
      </w:r>
      <w:r>
        <w:rPr>
          <w:rFonts w:hint="eastAsia" w:ascii="楷体" w:hAnsi="楷体" w:eastAsia="楷体" w:cs="仿宋_GB2312"/>
          <w:sz w:val="24"/>
          <w:szCs w:val="24"/>
          <w:lang w:val="en-US" w:eastAsia="zh-CN"/>
        </w:rPr>
        <w:t>6</w:t>
      </w:r>
      <w:r>
        <w:rPr>
          <w:rFonts w:hint="eastAsia" w:ascii="楷体" w:hAnsi="楷体" w:eastAsia="楷体" w:cs="仿宋_GB2312"/>
          <w:sz w:val="24"/>
          <w:szCs w:val="24"/>
        </w:rPr>
        <w:t>年</w:t>
      </w:r>
      <w:r>
        <w:rPr>
          <w:rFonts w:hint="eastAsia" w:ascii="楷体" w:hAnsi="楷体" w:eastAsia="楷体" w:cs="仿宋_GB2312"/>
          <w:sz w:val="24"/>
          <w:szCs w:val="24"/>
          <w:lang w:val="en-US" w:eastAsia="zh-CN"/>
        </w:rPr>
        <w:t>10</w:t>
      </w:r>
      <w:r>
        <w:rPr>
          <w:rFonts w:hint="eastAsia" w:ascii="楷体" w:hAnsi="楷体" w:eastAsia="楷体" w:cs="仿宋_GB2312"/>
          <w:sz w:val="24"/>
          <w:szCs w:val="24"/>
        </w:rPr>
        <w:t>月</w:t>
      </w:r>
      <w:r>
        <w:rPr>
          <w:rFonts w:hint="eastAsia" w:ascii="楷体" w:hAnsi="楷体" w:eastAsia="楷体" w:cs="仿宋_GB2312"/>
          <w:sz w:val="24"/>
          <w:szCs w:val="24"/>
          <w:lang w:val="en-US" w:eastAsia="zh-CN"/>
        </w:rPr>
        <w:t>8</w:t>
      </w:r>
      <w:r>
        <w:rPr>
          <w:rFonts w:hint="eastAsia" w:ascii="楷体" w:hAnsi="楷体" w:eastAsia="楷体" w:cs="仿宋_GB2312"/>
          <w:sz w:val="24"/>
          <w:szCs w:val="24"/>
        </w:rPr>
        <w:t>日</w:t>
      </w:r>
      <w:r>
        <w:rPr>
          <w:rFonts w:hint="eastAsia" w:ascii="楷体" w:hAnsi="楷体" w:eastAsia="楷体" w:cs="仿宋_GB2312"/>
          <w:sz w:val="24"/>
          <w:szCs w:val="24"/>
          <w:lang w:val="en-US" w:eastAsia="zh-CN"/>
        </w:rPr>
        <w:t>16</w:t>
      </w:r>
      <w:r>
        <w:rPr>
          <w:rFonts w:hint="eastAsia" w:ascii="楷体" w:hAnsi="楷体" w:eastAsia="楷体" w:cs="仿宋_GB2312"/>
          <w:sz w:val="24"/>
          <w:szCs w:val="24"/>
        </w:rPr>
        <w:t>时止）</w:t>
      </w:r>
    </w:p>
    <w:tbl>
      <w:tblPr>
        <w:tblStyle w:val="35"/>
        <w:tblpPr w:leftFromText="180" w:rightFromText="180" w:vertAnchor="text" w:horzAnchor="page" w:tblpX="1081" w:tblpY="210"/>
        <w:tblOverlap w:val="never"/>
        <w:tblW w:w="9675"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769"/>
        <w:gridCol w:w="1512"/>
        <w:gridCol w:w="858"/>
        <w:gridCol w:w="828"/>
        <w:gridCol w:w="2952"/>
        <w:gridCol w:w="2756"/>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760" w:hRule="atLeast"/>
        </w:trPr>
        <w:tc>
          <w:tcPr>
            <w:tcW w:w="769"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序号</w:t>
            </w:r>
          </w:p>
        </w:tc>
        <w:tc>
          <w:tcPr>
            <w:tcW w:w="1512"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名称</w:t>
            </w:r>
          </w:p>
        </w:tc>
        <w:tc>
          <w:tcPr>
            <w:tcW w:w="858"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单位</w:t>
            </w:r>
          </w:p>
        </w:tc>
        <w:tc>
          <w:tcPr>
            <w:tcW w:w="828"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数量</w:t>
            </w:r>
          </w:p>
        </w:tc>
        <w:tc>
          <w:tcPr>
            <w:tcW w:w="2952" w:type="dxa"/>
            <w:vAlign w:val="center"/>
          </w:tcPr>
          <w:p>
            <w:pPr>
              <w:adjustRightInd w:val="0"/>
              <w:snapToGrid w:val="0"/>
              <w:jc w:val="center"/>
              <w:rPr>
                <w:rFonts w:hint="eastAsia" w:ascii="仿宋" w:hAnsi="仿宋" w:eastAsia="仿宋"/>
                <w:b/>
                <w:kern w:val="0"/>
                <w:sz w:val="24"/>
                <w:szCs w:val="24"/>
                <w:lang w:eastAsia="zh-CN"/>
              </w:rPr>
            </w:pPr>
            <w:r>
              <w:rPr>
                <w:rFonts w:hint="eastAsia" w:ascii="仿宋" w:hAnsi="仿宋" w:eastAsia="仿宋"/>
                <w:b/>
                <w:kern w:val="0"/>
                <w:sz w:val="24"/>
                <w:szCs w:val="24"/>
              </w:rPr>
              <w:t>主要技术参数</w:t>
            </w:r>
            <w:r>
              <w:rPr>
                <w:rFonts w:hint="eastAsia" w:ascii="仿宋" w:hAnsi="仿宋" w:eastAsia="仿宋"/>
                <w:b/>
                <w:kern w:val="0"/>
                <w:sz w:val="24"/>
                <w:szCs w:val="24"/>
                <w:lang w:eastAsia="zh-CN"/>
              </w:rPr>
              <w:t>及要求</w:t>
            </w:r>
          </w:p>
        </w:tc>
        <w:tc>
          <w:tcPr>
            <w:tcW w:w="2756" w:type="dxa"/>
            <w:vAlign w:val="center"/>
          </w:tcPr>
          <w:p>
            <w:pPr>
              <w:adjustRightInd w:val="0"/>
              <w:snapToGrid w:val="0"/>
              <w:jc w:val="center"/>
              <w:rPr>
                <w:rFonts w:hint="eastAsia" w:ascii="仿宋" w:hAnsi="仿宋" w:eastAsia="仿宋" w:cs="仿宋"/>
                <w:b/>
                <w:kern w:val="0"/>
                <w:sz w:val="24"/>
                <w:szCs w:val="24"/>
                <w:lang w:val="en-US" w:eastAsia="zh-CN"/>
              </w:rPr>
            </w:pPr>
            <w:r>
              <w:rPr>
                <w:rFonts w:hint="eastAsia" w:ascii="仿宋" w:hAnsi="仿宋" w:eastAsia="仿宋" w:cs="仿宋"/>
                <w:b/>
                <w:kern w:val="0"/>
                <w:sz w:val="24"/>
                <w:szCs w:val="24"/>
                <w:lang w:val="en-US" w:eastAsia="zh-CN"/>
              </w:rPr>
              <w:t>备注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2660" w:hRule="exact"/>
        </w:trPr>
        <w:tc>
          <w:tcPr>
            <w:tcW w:w="769"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1</w:t>
            </w:r>
          </w:p>
        </w:tc>
        <w:tc>
          <w:tcPr>
            <w:tcW w:w="1512"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color w:val="333333"/>
                <w:sz w:val="28"/>
                <w:szCs w:val="28"/>
                <w:lang w:eastAsia="zh-CN"/>
              </w:rPr>
              <w:t>现代护理学院口腔护理实验室建设</w:t>
            </w:r>
          </w:p>
        </w:tc>
        <w:tc>
          <w:tcPr>
            <w:tcW w:w="858"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项</w:t>
            </w:r>
          </w:p>
        </w:tc>
        <w:tc>
          <w:tcPr>
            <w:tcW w:w="828" w:type="dxa"/>
            <w:vAlign w:val="center"/>
          </w:tcPr>
          <w:p>
            <w:pPr>
              <w:adjustRightInd w:val="0"/>
              <w:snapToGrid w:val="0"/>
              <w:jc w:val="center"/>
              <w:rPr>
                <w:rFonts w:hint="default"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1</w:t>
            </w:r>
          </w:p>
        </w:tc>
        <w:tc>
          <w:tcPr>
            <w:tcW w:w="2952" w:type="dxa"/>
            <w:vAlign w:val="center"/>
          </w:tcPr>
          <w:p>
            <w:pPr>
              <w:adjustRightInd w:val="0"/>
              <w:snapToGrid w:val="0"/>
              <w:jc w:val="center"/>
              <w:rPr>
                <w:rFonts w:hint="default"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见附件2</w:t>
            </w:r>
          </w:p>
        </w:tc>
        <w:tc>
          <w:tcPr>
            <w:tcW w:w="2756"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如供应商为本项目提供的所有产品中有属于《强制性产品认证目录》范围内产品的，均应通过国家强制性产品认证并取得认证证书或经过强制性认证产品符合性自我声明。（</w:t>
            </w:r>
            <w:r>
              <w:rPr>
                <w:rFonts w:hint="eastAsia" w:asciiTheme="minorEastAsia" w:hAnsiTheme="minorEastAsia" w:cstheme="minorEastAsia"/>
                <w:sz w:val="21"/>
                <w:szCs w:val="21"/>
                <w:lang w:eastAsia="zh-CN"/>
              </w:rPr>
              <w:t>签订合同</w:t>
            </w:r>
            <w:r>
              <w:rPr>
                <w:rFonts w:hint="eastAsia" w:asciiTheme="minorEastAsia" w:hAnsiTheme="minorEastAsia" w:eastAsiaTheme="minorEastAsia" w:cstheme="minorEastAsia"/>
                <w:sz w:val="21"/>
                <w:szCs w:val="21"/>
              </w:rPr>
              <w:t>时须提供产品对应的有效的“CCC”认证证书或经过强制性认证产品符合性自我声明扫描件并加盖供应商公章）。供应商为本项目提供的所有产品应符合现行的强制性国家相关标准、行业标准。</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rPr>
            </w:pPr>
          </w:p>
          <w:p>
            <w:pPr>
              <w:jc w:val="left"/>
              <w:rPr>
                <w:rFonts w:hint="default" w:ascii="宋体" w:hAnsi="宋体" w:eastAsia="宋体" w:cs="宋体"/>
                <w:kern w:val="0"/>
                <w:sz w:val="21"/>
                <w:szCs w:val="21"/>
                <w:lang w:val="en-US" w:eastAsia="zh-C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983" w:hRule="atLeast"/>
        </w:trPr>
        <w:tc>
          <w:tcPr>
            <w:tcW w:w="2281" w:type="dxa"/>
            <w:gridSpan w:val="2"/>
            <w:vAlign w:val="center"/>
          </w:tcPr>
          <w:p>
            <w:pPr>
              <w:widowControl/>
              <w:jc w:val="center"/>
              <w:rPr>
                <w:rFonts w:hint="eastAsia" w:ascii="仿宋" w:hAnsi="仿宋" w:eastAsia="仿宋" w:cstheme="minorEastAsia"/>
                <w:kern w:val="0"/>
                <w:sz w:val="24"/>
                <w:szCs w:val="24"/>
                <w:lang w:val="en-US" w:eastAsia="zh-CN"/>
              </w:rPr>
            </w:pPr>
            <w:r>
              <w:rPr>
                <w:rFonts w:hint="eastAsia" w:ascii="仿宋" w:hAnsi="仿宋" w:eastAsia="仿宋" w:cstheme="minorEastAsia"/>
                <w:kern w:val="0"/>
                <w:sz w:val="24"/>
                <w:szCs w:val="24"/>
                <w:lang w:val="en-US" w:eastAsia="zh-CN"/>
              </w:rPr>
              <w:t>合 计</w:t>
            </w:r>
            <w:r>
              <w:rPr>
                <w:rFonts w:hint="eastAsia" w:ascii="仿宋" w:hAnsi="仿宋" w:eastAsia="仿宋" w:cs="仿宋"/>
                <w:sz w:val="24"/>
              </w:rPr>
              <w:t>（元）</w:t>
            </w:r>
          </w:p>
        </w:tc>
        <w:tc>
          <w:tcPr>
            <w:tcW w:w="7394" w:type="dxa"/>
            <w:gridSpan w:val="4"/>
            <w:vAlign w:val="center"/>
          </w:tcPr>
          <w:p>
            <w:pPr>
              <w:jc w:val="left"/>
              <w:rPr>
                <w:rFonts w:hint="default" w:ascii="仿宋" w:hAnsi="仿宋" w:eastAsia="仿宋" w:cs="仿宋"/>
                <w:kern w:val="0"/>
                <w:sz w:val="24"/>
                <w:szCs w:val="24"/>
                <w:lang w:val="en-US" w:eastAsia="zh-CN"/>
              </w:rPr>
            </w:pPr>
            <w:r>
              <w:rPr>
                <w:rFonts w:hint="eastAsia" w:ascii="仿宋" w:hAnsi="仿宋" w:eastAsia="仿宋" w:cs="仿宋"/>
                <w:kern w:val="0"/>
                <w:sz w:val="24"/>
                <w:szCs w:val="24"/>
              </w:rPr>
              <w:t xml:space="preserve">   </w:t>
            </w:r>
            <w:r>
              <w:rPr>
                <w:rFonts w:hint="eastAsia" w:ascii="仿宋" w:hAnsi="仿宋" w:eastAsia="仿宋" w:cs="仿宋"/>
                <w:kern w:val="0"/>
                <w:sz w:val="24"/>
                <w:szCs w:val="24"/>
                <w:lang w:eastAsia="zh-CN"/>
              </w:rPr>
              <w:t>小写：</w:t>
            </w:r>
            <w:r>
              <w:rPr>
                <w:rFonts w:hint="eastAsia" w:ascii="仿宋" w:hAnsi="仿宋" w:eastAsia="仿宋" w:cs="仿宋"/>
                <w:kern w:val="0"/>
                <w:sz w:val="24"/>
                <w:szCs w:val="24"/>
                <w:lang w:val="en-US" w:eastAsia="zh-CN"/>
              </w:rPr>
              <w:t xml:space="preserve">              元、 大写：                      元整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967"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附加条件</w:t>
            </w:r>
          </w:p>
        </w:tc>
        <w:tc>
          <w:tcPr>
            <w:tcW w:w="7394"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（如有请明确表述）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1344"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交货日期</w:t>
            </w:r>
          </w:p>
        </w:tc>
        <w:tc>
          <w:tcPr>
            <w:tcW w:w="7394"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自签订合同且采购人下达供货任务书之日起XX天内交货到采购人指定地点并验收合格投入使用。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1334"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报价商家名称</w:t>
            </w:r>
          </w:p>
          <w:p>
            <w:pPr>
              <w:jc w:val="center"/>
              <w:rPr>
                <w:rFonts w:ascii="仿宋" w:hAnsi="仿宋" w:eastAsia="仿宋" w:cs="仿宋"/>
                <w:kern w:val="0"/>
                <w:sz w:val="24"/>
                <w:szCs w:val="24"/>
              </w:rPr>
            </w:pPr>
            <w:r>
              <w:rPr>
                <w:rFonts w:hint="eastAsia" w:ascii="仿宋" w:hAnsi="仿宋" w:eastAsia="仿宋" w:cs="仿宋"/>
                <w:kern w:val="0"/>
                <w:sz w:val="24"/>
                <w:szCs w:val="24"/>
              </w:rPr>
              <w:t>（盖章）</w:t>
            </w:r>
          </w:p>
        </w:tc>
        <w:tc>
          <w:tcPr>
            <w:tcW w:w="7394"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（盖章方为有效，否则报价无效。）</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87"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联系人及电话</w:t>
            </w:r>
          </w:p>
        </w:tc>
        <w:tc>
          <w:tcPr>
            <w:tcW w:w="7394" w:type="dxa"/>
            <w:gridSpan w:val="4"/>
            <w:vAlign w:val="center"/>
          </w:tcPr>
          <w:p>
            <w:pPr>
              <w:jc w:val="center"/>
              <w:rPr>
                <w:rFonts w:ascii="仿宋" w:hAnsi="仿宋" w:eastAsia="仿宋" w:cs="仿宋"/>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91"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报价时间</w:t>
            </w:r>
          </w:p>
        </w:tc>
        <w:tc>
          <w:tcPr>
            <w:tcW w:w="7394"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年     月     日</w:t>
            </w:r>
          </w:p>
        </w:tc>
      </w:tr>
    </w:tbl>
    <w:p>
      <w:pPr>
        <w:jc w:val="center"/>
        <w:rPr>
          <w:rFonts w:hint="eastAsia" w:ascii="楷体" w:hAnsi="楷体" w:eastAsia="楷体" w:cs="仿宋_GB231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sz w:val="18"/>
          <w:szCs w:val="18"/>
          <w:lang w:val="en-US" w:eastAsia="zh-CN"/>
        </w:rPr>
      </w:pPr>
      <w:r>
        <w:rPr>
          <w:rFonts w:hint="eastAsia" w:ascii="宋体" w:hAnsi="宋体" w:eastAsia="宋体" w:cs="宋体"/>
          <w:b/>
          <w:bCs/>
          <w:sz w:val="18"/>
          <w:szCs w:val="18"/>
          <w:lang w:val="en-US" w:eastAsia="zh-CN"/>
        </w:rPr>
        <w:t>　备注: 1、报价为包干价，含税费、运输费、安装费、人工费等一切费用。</w:t>
      </w:r>
    </w:p>
    <w:p>
      <w:pPr>
        <w:pStyle w:val="2"/>
        <w:numPr>
          <w:ilvl w:val="0"/>
          <w:numId w:val="0"/>
        </w:numPr>
        <w:ind w:firstLine="723" w:firstLineChars="400"/>
        <w:rPr>
          <w:rFonts w:hint="eastAsia" w:ascii="宋体" w:hAnsi="宋体" w:eastAsia="宋体" w:cs="宋体"/>
          <w:b/>
          <w:bCs/>
          <w:sz w:val="18"/>
          <w:szCs w:val="18"/>
          <w:lang w:val="en-US" w:eastAsia="zh-CN"/>
        </w:rPr>
      </w:pPr>
      <w:r>
        <w:rPr>
          <w:rFonts w:hint="eastAsia" w:ascii="宋体" w:hAnsi="宋体" w:cs="宋体"/>
          <w:b/>
          <w:bCs/>
          <w:sz w:val="18"/>
          <w:szCs w:val="18"/>
          <w:lang w:val="en-US" w:eastAsia="zh-CN"/>
        </w:rPr>
        <w:t>2、</w:t>
      </w:r>
      <w:r>
        <w:rPr>
          <w:rFonts w:hint="eastAsia" w:ascii="宋体" w:hAnsi="宋体" w:eastAsia="宋体" w:cs="宋体"/>
          <w:b/>
          <w:bCs/>
          <w:sz w:val="18"/>
          <w:szCs w:val="18"/>
          <w:lang w:val="en-US" w:eastAsia="zh-CN"/>
        </w:rPr>
        <w:t>此报价必须单价、总价都要报</w:t>
      </w:r>
      <w:r>
        <w:rPr>
          <w:rFonts w:hint="eastAsia" w:ascii="宋体" w:hAnsi="宋体" w:cs="宋体"/>
          <w:b/>
          <w:bCs/>
          <w:sz w:val="18"/>
          <w:szCs w:val="18"/>
          <w:lang w:val="en-US" w:eastAsia="zh-CN"/>
        </w:rPr>
        <w:t>。</w:t>
      </w:r>
    </w:p>
    <w:p>
      <w:pPr>
        <w:rPr>
          <w:rFonts w:hint="eastAsia" w:eastAsia="宋体"/>
          <w:lang w:val="en-US" w:eastAsia="zh-CN"/>
        </w:rPr>
      </w:pPr>
      <w:r>
        <w:rPr>
          <w:rFonts w:hint="eastAsia" w:ascii="宋体" w:hAnsi="宋体" w:eastAsia="宋体" w:cs="宋体"/>
          <w:b/>
          <w:bCs/>
          <w:sz w:val="18"/>
          <w:szCs w:val="18"/>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sz w:val="18"/>
          <w:szCs w:val="18"/>
          <w:lang w:val="en-US" w:eastAsia="zh-CN"/>
        </w:rPr>
      </w:pPr>
      <w:r>
        <w:rPr>
          <w:rFonts w:hint="eastAsia"/>
          <w:lang w:val="en-US" w:eastAsia="zh-CN"/>
        </w:rPr>
        <w:t>　　</w:t>
      </w:r>
    </w:p>
    <w:p>
      <w:pPr>
        <w:numPr>
          <w:ilvl w:val="0"/>
          <w:numId w:val="0"/>
        </w:numPr>
        <w:rPr>
          <w:rFonts w:hint="default"/>
          <w:lang w:val="en-US" w:eastAsia="zh-CN"/>
        </w:rPr>
      </w:pPr>
    </w:p>
    <w:p>
      <w:pPr>
        <w:pStyle w:val="2"/>
        <w:rPr>
          <w:rFonts w:hint="eastAsia"/>
          <w:lang w:val="en-US" w:eastAsia="zh-CN"/>
        </w:rPr>
      </w:pPr>
    </w:p>
    <w:p>
      <w:pPr>
        <w:spacing w:line="560" w:lineRule="exact"/>
        <w:jc w:val="both"/>
        <w:rPr>
          <w:rFonts w:hint="eastAsia" w:ascii="Calibri" w:hAnsi="Calibri" w:eastAsia="宋体" w:cs="Times New Roman"/>
          <w:b/>
          <w:bCs/>
          <w:color w:val="000000"/>
          <w:sz w:val="36"/>
          <w:szCs w:val="44"/>
          <w:lang w:val="en-US" w:eastAsia="zh-CN"/>
        </w:rPr>
      </w:pPr>
    </w:p>
    <w:p>
      <w:pPr>
        <w:spacing w:line="560" w:lineRule="exact"/>
        <w:jc w:val="both"/>
        <w:rPr>
          <w:rFonts w:hint="eastAsia" w:ascii="Calibri" w:hAnsi="Calibri" w:eastAsia="宋体" w:cs="Times New Roman"/>
          <w:b/>
          <w:bCs/>
          <w:color w:val="000000"/>
          <w:sz w:val="36"/>
          <w:szCs w:val="44"/>
          <w:lang w:val="en-US" w:eastAsia="zh-CN"/>
        </w:rPr>
      </w:pPr>
      <w:r>
        <w:rPr>
          <w:rFonts w:hint="eastAsia" w:ascii="Calibri" w:hAnsi="Calibri" w:eastAsia="宋体" w:cs="Times New Roman"/>
          <w:b/>
          <w:bCs/>
          <w:color w:val="000000"/>
          <w:sz w:val="36"/>
          <w:szCs w:val="44"/>
          <w:lang w:val="en-US" w:eastAsia="zh-CN"/>
        </w:rPr>
        <w:t>附件2：</w:t>
      </w:r>
    </w:p>
    <w:tbl>
      <w:tblPr>
        <w:tblW w:w="9770" w:type="dxa"/>
        <w:tblInd w:w="0" w:type="dxa"/>
        <w:shd w:val="clear"/>
        <w:tblLayout w:type="fixed"/>
        <w:tblCellMar>
          <w:top w:w="0" w:type="dxa"/>
          <w:left w:w="0" w:type="dxa"/>
          <w:bottom w:w="0" w:type="dxa"/>
          <w:right w:w="0" w:type="dxa"/>
        </w:tblCellMar>
      </w:tblPr>
      <w:tblGrid>
        <w:gridCol w:w="408"/>
        <w:gridCol w:w="1118"/>
        <w:gridCol w:w="6197"/>
        <w:gridCol w:w="679"/>
        <w:gridCol w:w="684"/>
        <w:gridCol w:w="684"/>
      </w:tblGrid>
      <w:tr>
        <w:tblPrEx>
          <w:shd w:val="clear"/>
          <w:tblLayout w:type="fixed"/>
          <w:tblCellMar>
            <w:top w:w="0" w:type="dxa"/>
            <w:left w:w="0" w:type="dxa"/>
            <w:bottom w:w="0" w:type="dxa"/>
            <w:right w:w="0" w:type="dxa"/>
          </w:tblCellMar>
        </w:tblPrEx>
        <w:trPr>
          <w:trHeight w:val="288" w:hRule="atLeast"/>
        </w:trPr>
        <w:tc>
          <w:tcPr>
            <w:tcW w:w="9770" w:type="dxa"/>
            <w:gridSpan w:val="6"/>
            <w:vMerge w:val="restart"/>
            <w:tcBorders>
              <w:top w:val="nil"/>
              <w:left w:val="nil"/>
              <w:bottom w:val="nil"/>
              <w:right w:val="nil"/>
            </w:tcBorders>
            <w:shd w:val="clear"/>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现代护理学院口腔护理实验室建设项目预算清单</w:t>
            </w:r>
          </w:p>
        </w:tc>
      </w:tr>
      <w:tr>
        <w:tblPrEx>
          <w:tblLayout w:type="fixed"/>
          <w:tblCellMar>
            <w:top w:w="0" w:type="dxa"/>
            <w:left w:w="0" w:type="dxa"/>
            <w:bottom w:w="0" w:type="dxa"/>
            <w:right w:w="0" w:type="dxa"/>
          </w:tblCellMar>
        </w:tblPrEx>
        <w:trPr>
          <w:trHeight w:val="288" w:hRule="atLeast"/>
        </w:trPr>
        <w:tc>
          <w:tcPr>
            <w:tcW w:w="9770" w:type="dxa"/>
            <w:gridSpan w:val="6"/>
            <w:vMerge w:val="continue"/>
            <w:tcBorders>
              <w:top w:val="nil"/>
              <w:left w:val="nil"/>
              <w:bottom w:val="nil"/>
              <w:right w:val="nil"/>
            </w:tcBorders>
            <w:shd w:val="clear"/>
            <w:noWrap/>
            <w:tcMar>
              <w:top w:w="12" w:type="dxa"/>
              <w:left w:w="12" w:type="dxa"/>
              <w:right w:w="12" w:type="dxa"/>
            </w:tcMar>
            <w:vAlign w:val="center"/>
          </w:tcPr>
          <w:p>
            <w:pPr>
              <w:jc w:val="cente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740" w:hRule="atLeast"/>
        </w:trPr>
        <w:tc>
          <w:tcPr>
            <w:tcW w:w="40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序号</w:t>
            </w:r>
          </w:p>
        </w:tc>
        <w:tc>
          <w:tcPr>
            <w:tcW w:w="111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111111"/>
                <w:sz w:val="22"/>
                <w:szCs w:val="22"/>
                <w:u w:val="none"/>
              </w:rPr>
            </w:pPr>
            <w:r>
              <w:rPr>
                <w:rFonts w:hint="eastAsia" w:ascii="宋体" w:hAnsi="宋体" w:eastAsia="宋体" w:cs="宋体"/>
                <w:i w:val="0"/>
                <w:color w:val="111111"/>
                <w:kern w:val="0"/>
                <w:sz w:val="22"/>
                <w:szCs w:val="22"/>
                <w:u w:val="none"/>
                <w:bdr w:val="none" w:color="auto" w:sz="0" w:space="0"/>
                <w:lang w:val="en-US" w:eastAsia="zh-CN" w:bidi="ar"/>
              </w:rPr>
              <w:t>物品名称</w:t>
            </w:r>
          </w:p>
        </w:tc>
        <w:tc>
          <w:tcPr>
            <w:tcW w:w="6197"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参数</w:t>
            </w:r>
          </w:p>
        </w:tc>
        <w:tc>
          <w:tcPr>
            <w:tcW w:w="679"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111111"/>
                <w:sz w:val="22"/>
                <w:szCs w:val="22"/>
                <w:u w:val="none"/>
              </w:rPr>
            </w:pPr>
            <w:r>
              <w:rPr>
                <w:rFonts w:hint="eastAsia" w:ascii="宋体" w:hAnsi="宋体" w:eastAsia="宋体" w:cs="宋体"/>
                <w:i w:val="0"/>
                <w:color w:val="111111"/>
                <w:kern w:val="0"/>
                <w:sz w:val="22"/>
                <w:szCs w:val="22"/>
                <w:u w:val="none"/>
                <w:bdr w:val="none" w:color="auto" w:sz="0" w:space="0"/>
                <w:lang w:val="en-US" w:eastAsia="zh-CN" w:bidi="ar"/>
              </w:rPr>
              <w:t>数量</w:t>
            </w:r>
          </w:p>
        </w:tc>
        <w:tc>
          <w:tcPr>
            <w:tcW w:w="6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单价（元）</w:t>
            </w:r>
          </w:p>
        </w:tc>
        <w:tc>
          <w:tcPr>
            <w:tcW w:w="6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总价（元）</w:t>
            </w:r>
          </w:p>
        </w:tc>
      </w:tr>
      <w:tr>
        <w:tblPrEx>
          <w:tblLayout w:type="fixed"/>
          <w:tblCellMar>
            <w:top w:w="0" w:type="dxa"/>
            <w:left w:w="0" w:type="dxa"/>
            <w:bottom w:w="0" w:type="dxa"/>
            <w:right w:w="0" w:type="dxa"/>
          </w:tblCellMar>
        </w:tblPrEx>
        <w:trPr>
          <w:trHeight w:val="7020" w:hRule="atLeast"/>
        </w:trPr>
        <w:tc>
          <w:tcPr>
            <w:tcW w:w="408" w:type="dxa"/>
            <w:tcBorders>
              <w:top w:val="single" w:color="000000" w:sz="4" w:space="0"/>
              <w:left w:val="single" w:color="000000" w:sz="4" w:space="0"/>
              <w:bottom w:val="nil"/>
              <w:right w:val="single" w:color="000000" w:sz="4" w:space="0"/>
            </w:tcBorders>
            <w:shd w:val="clear"/>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111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口腔仿头模（简易款，带仿真头骨 + 软牙龈）</w:t>
            </w:r>
          </w:p>
        </w:tc>
        <w:tc>
          <w:tcPr>
            <w:tcW w:w="6197" w:type="dxa"/>
            <w:tcBorders>
              <w:top w:val="nil"/>
              <w:left w:val="nil"/>
              <w:bottom w:val="nil"/>
              <w:right w:val="nil"/>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1.夹桌式口腔仿头模。包含模拟平均值颌架（咬合器）、面罩、头颅盖、仿真耳和仿真肩体，完全模拟人体结构。</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2.头盖骨采用可翻式设计，与咬合器采用隐藏式螺纹固定，拆卸安装便利，外形与人体相似；采用模具化ABS注塑工艺生产。</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3.头颅与肩体之间采取了球形机械万向节构造接头，可调整头模上下左右的角度。</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4.配有的平均值咬合器前伸髁道斜度约30°，侧方髁道斜度约15°，两侧髁头间距离110mm, Bonwill三角110mm,带有模拟人耳和耳洞，可上面弓，可真实地模拟下颌运动数据的转移。同时可直接简单方便地安装各学科实习模型，不需要其他辅助咬合器。</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5.配有完全模拟人体参数的平均值咬合器，应根据人体解剖学要求再现眶耳平面，鼻翼耳平面，以及颌平面和下颌切点，可进行下颌开闭口位、前伸位和侧向位的模拟运动，其髁球的平滑移动反映下颌运动的模拟效果，配套的颌间距调节器可以把开口距离从50m调整到22mm。（附认监委可查的检测报告证明）</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6.应采用亚洲人牙齿形态设计，具有解剖形态的密胺制牙齿带单直根，采用隐藏式螺丝固位，配套有迷你螺丝刀，利于使用者拔出、安装和更换。牙龈由优质的硅橡胶制成，可拆卸和更换，色泽逼真，采用优质硅橡胶制成，具有理想的形态和手感。</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7.模型与咬合器采用隐藏式螺纹固位，与头颅采用高磁性固位装置连接，牙模磁吸固定板吸力≥16KG，并设置隐藏可弹式拆卸按钮，整体模拟人体，使用时安装简单。同时可安装各个学科的实习模型进行模拟训练，也可安装使用者自制模型及牙齿进行模拟训练。（磁吸力附认监委可查的检测报告证明）</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9.高级头模面罩空间模拟人体，密闭防水，可模拟人体进行牵拉，牵拉力值≥21KG（牵拉力附认监委可查的检测报告证明）</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10.▲面罩整体厚度≥3mm，唇边厚度≥5mm（实物测量图片证明）</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10.★高度仿真肩体具有不少于三种形态，三种颜色可供选择，适应不同教学桌和教室布置需要。</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11.不锈钢夹具，可夹持厚度≥25mm,通过旋转把手可徒手调节夹持松紧度。</w:t>
            </w:r>
          </w:p>
        </w:tc>
        <w:tc>
          <w:tcPr>
            <w:tcW w:w="679"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111111"/>
                <w:sz w:val="22"/>
                <w:szCs w:val="22"/>
                <w:u w:val="none"/>
              </w:rPr>
            </w:pPr>
            <w:r>
              <w:rPr>
                <w:rFonts w:hint="eastAsia" w:ascii="宋体" w:hAnsi="宋体" w:eastAsia="宋体" w:cs="宋体"/>
                <w:i w:val="0"/>
                <w:color w:val="111111"/>
                <w:kern w:val="0"/>
                <w:sz w:val="22"/>
                <w:szCs w:val="22"/>
                <w:u w:val="none"/>
                <w:bdr w:val="none" w:color="auto" w:sz="0" w:space="0"/>
                <w:lang w:val="en-US" w:eastAsia="zh-CN" w:bidi="ar"/>
              </w:rPr>
              <w:t>10套</w:t>
            </w:r>
          </w:p>
        </w:tc>
        <w:tc>
          <w:tcPr>
            <w:tcW w:w="6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6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3880" w:hRule="atLeast"/>
        </w:trPr>
        <w:tc>
          <w:tcPr>
            <w:tcW w:w="408" w:type="dxa"/>
            <w:tcBorders>
              <w:top w:val="single" w:color="000000" w:sz="4" w:space="0"/>
              <w:left w:val="single" w:color="000000" w:sz="4" w:space="0"/>
              <w:bottom w:val="nil"/>
              <w:right w:val="single" w:color="000000" w:sz="4" w:space="0"/>
            </w:tcBorders>
            <w:shd w:val="clear"/>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111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口腔综合治疗模拟系统</w:t>
            </w:r>
          </w:p>
        </w:tc>
        <w:tc>
          <w:tcPr>
            <w:tcW w:w="6197"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top"/>
          </w:tcPr>
          <w:p>
            <w:pPr>
              <w:keepNext w:val="0"/>
              <w:keepLines w:val="0"/>
              <w:widowControl/>
              <w:suppressLineNumbers w:val="0"/>
              <w:jc w:val="left"/>
              <w:textAlignment w:val="top"/>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1.★系统为护理专业口腔护理示教专用模拟系统，教师单机一体化操作台，内置仿真口腔水路系统，具备模拟喷水、三用枪吹气、强/弱吸唾功能；不含高速手机、备牙打磨模块，不支持牙体切削备牙实训。</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2.★搭载高清摄像示教模块，≥1080P分辨率，可实时采集口腔内操作画面，信号输出至实训室教学一体机，实现全班同步示教，支持操作视频录制、回放、U盘拷贝。</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3.配套教师专用仿真头模单元：成人仿真头骨，可拆装上下颌软硅胶牙龈，头模可多角度俯仰、旋转调节并可锁止；头模牙龈/牙模块与学生工位口腔仿头模耗材通用。</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4.操作台配置：LED冷光口腔手术灯，亮度可调；器械挂架、弯盘托架、废液收集箱；脚踏控制水路开关。</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5.整机模块化设计，水路易维护，废液独立收集防渗漏；适配实训室220V常规供电。</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6.★配套原厂教学资源：内置口腔护理四手操作、器械传递、院感防护标准化操作视频不少于10个。</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7.资质要求：提供产品检验报告、合格证；生产厂家具备医学教学模型设备生产资质；原厂质保≥3年，提供上门安装调试、现场师资培训。</w:t>
            </w:r>
          </w:p>
        </w:tc>
        <w:tc>
          <w:tcPr>
            <w:tcW w:w="679"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111111"/>
                <w:sz w:val="22"/>
                <w:szCs w:val="22"/>
                <w:u w:val="none"/>
              </w:rPr>
            </w:pPr>
            <w:r>
              <w:rPr>
                <w:rFonts w:hint="eastAsia" w:ascii="宋体" w:hAnsi="宋体" w:eastAsia="宋体" w:cs="宋体"/>
                <w:i w:val="0"/>
                <w:color w:val="111111"/>
                <w:kern w:val="0"/>
                <w:sz w:val="22"/>
                <w:szCs w:val="22"/>
                <w:u w:val="none"/>
                <w:bdr w:val="none" w:color="auto" w:sz="0" w:space="0"/>
                <w:lang w:val="en-US" w:eastAsia="zh-CN" w:bidi="ar"/>
              </w:rPr>
              <w:t>1套</w:t>
            </w:r>
          </w:p>
        </w:tc>
        <w:tc>
          <w:tcPr>
            <w:tcW w:w="6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6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3780" w:hRule="atLeast"/>
        </w:trPr>
        <w:tc>
          <w:tcPr>
            <w:tcW w:w="408" w:type="dxa"/>
            <w:tcBorders>
              <w:top w:val="single" w:color="000000" w:sz="4" w:space="0"/>
              <w:left w:val="single" w:color="000000" w:sz="4" w:space="0"/>
              <w:bottom w:val="nil"/>
              <w:right w:val="single" w:color="000000" w:sz="4" w:space="0"/>
            </w:tcBorders>
            <w:shd w:val="clear"/>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w:t>
            </w:r>
          </w:p>
        </w:tc>
        <w:tc>
          <w:tcPr>
            <w:tcW w:w="111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牙科教学模型（分类牙模，病理牙模型）</w:t>
            </w:r>
          </w:p>
        </w:tc>
        <w:tc>
          <w:tcPr>
            <w:tcW w:w="6197" w:type="dxa"/>
            <w:tcBorders>
              <w:top w:val="nil"/>
              <w:left w:val="nil"/>
              <w:bottom w:val="nil"/>
              <w:right w:val="nil"/>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1.★整套牙科教学模型套装不少于15件，覆盖口腔护理教学全部示教需求：</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2.标准32牙成人恒牙列模型（1套）：用于口腔解剖认知、牙位标记教学。</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3.放大版刷牙示教模型（1套）：≥2倍放大，用于巴氏刷牙法、牙线使用示范教学。</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4.病理牙模型组（5套）：包含不同程度或形态牙周病模型、龋坏、牙髓病、综合病理模型等，用于口腔评估教学、异常体征识别训练。</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5.儿童乳牙列模型（1套）：用于儿童口腔护理、乳牙龋坏识别教学。</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6.义齿护理模型（1套）：活动义齿摘戴、清洁训练。</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7.拔牙模型（2套）：恒牙和阻生齿拔除教学。</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8.口腔颌面部解剖模型（1套）：面部层次解剖、神经血管分布认知。</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9.牙列缺损/缺失修复模型（2套）：用于义齿护理、口腔修复术后护理教学。</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10.窝沟封闭示范模型（1套）：用于儿童龋齿预防，窝沟封闭讲解。</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11.材质要求：硬质树脂与医用硅胶结合，牙龈部分仿真度高，牙体色彩逼真，可反复观察、触摸教学，无异味。</w:t>
            </w:r>
          </w:p>
        </w:tc>
        <w:tc>
          <w:tcPr>
            <w:tcW w:w="679"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111111"/>
                <w:sz w:val="22"/>
                <w:szCs w:val="22"/>
                <w:u w:val="none"/>
              </w:rPr>
            </w:pPr>
            <w:r>
              <w:rPr>
                <w:rFonts w:hint="eastAsia" w:ascii="宋体" w:hAnsi="宋体" w:eastAsia="宋体" w:cs="宋体"/>
                <w:i w:val="0"/>
                <w:color w:val="111111"/>
                <w:kern w:val="0"/>
                <w:sz w:val="22"/>
                <w:szCs w:val="22"/>
                <w:u w:val="none"/>
                <w:bdr w:val="none" w:color="auto" w:sz="0" w:space="0"/>
                <w:lang w:val="en-US" w:eastAsia="zh-CN" w:bidi="ar"/>
              </w:rPr>
              <w:t>1套</w:t>
            </w:r>
          </w:p>
        </w:tc>
        <w:tc>
          <w:tcPr>
            <w:tcW w:w="6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6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4100" w:hRule="atLeast"/>
        </w:trPr>
        <w:tc>
          <w:tcPr>
            <w:tcW w:w="408" w:type="dxa"/>
            <w:tcBorders>
              <w:top w:val="single" w:color="000000" w:sz="4" w:space="0"/>
              <w:left w:val="single" w:color="000000" w:sz="4" w:space="0"/>
              <w:bottom w:val="nil"/>
              <w:right w:val="single" w:color="000000" w:sz="4" w:space="0"/>
            </w:tcBorders>
            <w:shd w:val="clear"/>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111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口腔检查与洁治训练器械包（学生套装）</w:t>
            </w:r>
          </w:p>
        </w:tc>
        <w:tc>
          <w:tcPr>
            <w:tcW w:w="6197"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top"/>
          </w:tcPr>
          <w:p>
            <w:pPr>
              <w:keepNext w:val="0"/>
              <w:keepLines w:val="0"/>
              <w:widowControl/>
              <w:suppressLineNumbers w:val="0"/>
              <w:jc w:val="left"/>
              <w:textAlignment w:val="top"/>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1.★学生单人套装，不锈钢材质，每套包含以下器械，数量按10套配置：</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2.口腔检查器械包（每套7件）：</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   - 口镜（金属柄，口镜头可更换）×1</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   - 牙科探针（双弯）×1</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   - 牙科镊子×1</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   - 牙周探针（带刻度）×1</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   - 洁治器（镰形）×1</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   - 洁治器（梯形）×1</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   - 弯盘+治疗盘套装×1</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3.材质要求：全部不锈钢医用级材质，表面光洁无毛刺，可高温高压灭菌反复使用。</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4.配套工具：超声洁牙机练习工作尖×2（配合教学用超声洁牙机使用）。</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5.配套耗材：一次性口杯、治疗巾、检查手套（备用各100套）。</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6.每套器械配置专用硬质收纳盒，便于清点、存放、灭菌。</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7.资质要求：提供医疗器械备案凭证；产品符合YY/T 0243牙科器械通用技术要求；原厂质保≥3年。</w:t>
            </w:r>
          </w:p>
        </w:tc>
        <w:tc>
          <w:tcPr>
            <w:tcW w:w="679"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111111"/>
                <w:sz w:val="22"/>
                <w:szCs w:val="22"/>
                <w:u w:val="none"/>
              </w:rPr>
            </w:pPr>
            <w:r>
              <w:rPr>
                <w:rFonts w:hint="eastAsia" w:ascii="宋体" w:hAnsi="宋体" w:eastAsia="宋体" w:cs="宋体"/>
                <w:i w:val="0"/>
                <w:color w:val="111111"/>
                <w:kern w:val="0"/>
                <w:sz w:val="22"/>
                <w:szCs w:val="22"/>
                <w:u w:val="none"/>
                <w:bdr w:val="none" w:color="auto" w:sz="0" w:space="0"/>
                <w:lang w:val="en-US" w:eastAsia="zh-CN" w:bidi="ar"/>
              </w:rPr>
              <w:t>1套</w:t>
            </w:r>
          </w:p>
        </w:tc>
        <w:tc>
          <w:tcPr>
            <w:tcW w:w="6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6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3540" w:hRule="atLeast"/>
        </w:trPr>
        <w:tc>
          <w:tcPr>
            <w:tcW w:w="408" w:type="dxa"/>
            <w:tcBorders>
              <w:top w:val="single" w:color="000000" w:sz="4" w:space="0"/>
              <w:left w:val="single" w:color="000000" w:sz="4" w:space="0"/>
              <w:bottom w:val="nil"/>
              <w:right w:val="single" w:color="000000" w:sz="4" w:space="0"/>
            </w:tcBorders>
            <w:shd w:val="clear"/>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w:t>
            </w:r>
          </w:p>
        </w:tc>
        <w:tc>
          <w:tcPr>
            <w:tcW w:w="111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口腔器械消毒灭菌设备</w:t>
            </w:r>
          </w:p>
        </w:tc>
        <w:tc>
          <w:tcPr>
            <w:tcW w:w="6197"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top"/>
          </w:tcPr>
          <w:p>
            <w:pPr>
              <w:keepNext w:val="0"/>
              <w:keepLines w:val="0"/>
              <w:widowControl/>
              <w:suppressLineNumbers w:val="0"/>
              <w:jc w:val="left"/>
              <w:textAlignment w:val="top"/>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1.★预真空压力蒸汽灭菌器，B级，容积≥23L，台式结构。</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2.灭菌程序：包含B-D测试、真空测试、器械灭菌、织物灭菌、液体灭菌、快速灭菌等不少于6种标准程序。</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3.★内置微型打印机，可打印灭菌过程参数（温度、压力、时间、灭菌日期），符合WS 506-2016口腔器械消毒灭菌技术操作规范要求。</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4.真空度：≥0.09MPa，三次脉动真空，确保管腔类器械灭菌效果。</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5.最高灭菌温度：≥134℃，温度均匀度≤±0.5℃。</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6.安全保护：门盖电子锁、超温保护、超压保护、缺水保护、故障自动诊断报警。</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7.显示屏：彩色液晶触摸屏，中文操作界面，实时显示灭菌过程曲线。</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8.数据存储：可存储不少于1000次灭菌记录，支持USB导出。</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9.腔体材质：医用级不锈钢，防腐蚀耐磨损。</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10.配套配件：灭菌篮筐×2、灭菌指示卡×1盒、灭菌指示胶带×1卷。</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11.资质要求：提供医疗器械注册证（二类）、计量检定证书；原厂质保≥2年，上门安装培训。</w:t>
            </w:r>
          </w:p>
        </w:tc>
        <w:tc>
          <w:tcPr>
            <w:tcW w:w="679"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111111"/>
                <w:sz w:val="22"/>
                <w:szCs w:val="22"/>
                <w:u w:val="none"/>
              </w:rPr>
            </w:pPr>
            <w:r>
              <w:rPr>
                <w:rFonts w:hint="eastAsia" w:ascii="宋体" w:hAnsi="宋体" w:eastAsia="宋体" w:cs="宋体"/>
                <w:i w:val="0"/>
                <w:color w:val="111111"/>
                <w:kern w:val="0"/>
                <w:sz w:val="22"/>
                <w:szCs w:val="22"/>
                <w:u w:val="none"/>
                <w:bdr w:val="none" w:color="auto" w:sz="0" w:space="0"/>
                <w:lang w:val="en-US" w:eastAsia="zh-CN" w:bidi="ar"/>
              </w:rPr>
              <w:t>1台</w:t>
            </w:r>
          </w:p>
        </w:tc>
        <w:tc>
          <w:tcPr>
            <w:tcW w:w="6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6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3060" w:hRule="atLeast"/>
        </w:trPr>
        <w:tc>
          <w:tcPr>
            <w:tcW w:w="408" w:type="dxa"/>
            <w:tcBorders>
              <w:top w:val="single" w:color="000000" w:sz="4" w:space="0"/>
              <w:left w:val="single" w:color="000000" w:sz="4" w:space="0"/>
              <w:bottom w:val="nil"/>
              <w:right w:val="single" w:color="000000" w:sz="4" w:space="0"/>
            </w:tcBorders>
            <w:shd w:val="clear"/>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w:t>
            </w:r>
          </w:p>
        </w:tc>
        <w:tc>
          <w:tcPr>
            <w:tcW w:w="111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超声清洗机</w:t>
            </w:r>
          </w:p>
        </w:tc>
        <w:tc>
          <w:tcPr>
            <w:tcW w:w="6197" w:type="dxa"/>
            <w:tcBorders>
              <w:top w:val="nil"/>
              <w:left w:val="nil"/>
              <w:bottom w:val="nil"/>
              <w:right w:val="nil"/>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电源电压: AC 200-240V 50Hz</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          AC 100-120V 60Hz</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超声功率: 120W</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时间可调: 1-99分钟</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温度可调: 0-80C</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内槽尺寸: 300x 240x 150mm</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产品频率: 40KHz</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内胆材质:食品级304不锈钢</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产品容量: 10L</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产品净重: 8Kg</w:t>
            </w:r>
          </w:p>
        </w:tc>
        <w:tc>
          <w:tcPr>
            <w:tcW w:w="679"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111111"/>
                <w:sz w:val="22"/>
                <w:szCs w:val="22"/>
                <w:u w:val="none"/>
              </w:rPr>
            </w:pPr>
            <w:r>
              <w:rPr>
                <w:rFonts w:hint="eastAsia" w:ascii="宋体" w:hAnsi="宋体" w:eastAsia="宋体" w:cs="宋体"/>
                <w:i w:val="0"/>
                <w:color w:val="111111"/>
                <w:kern w:val="0"/>
                <w:sz w:val="22"/>
                <w:szCs w:val="22"/>
                <w:u w:val="none"/>
                <w:bdr w:val="none" w:color="auto" w:sz="0" w:space="0"/>
                <w:lang w:val="en-US" w:eastAsia="zh-CN" w:bidi="ar"/>
              </w:rPr>
              <w:t>1个</w:t>
            </w:r>
          </w:p>
        </w:tc>
        <w:tc>
          <w:tcPr>
            <w:tcW w:w="6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6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90" w:hRule="atLeast"/>
        </w:trPr>
        <w:tc>
          <w:tcPr>
            <w:tcW w:w="408" w:type="dxa"/>
            <w:tcBorders>
              <w:top w:val="single" w:color="000000" w:sz="4" w:space="0"/>
              <w:left w:val="single" w:color="000000" w:sz="4" w:space="0"/>
              <w:bottom w:val="nil"/>
              <w:right w:val="single" w:color="000000" w:sz="4" w:space="0"/>
            </w:tcBorders>
            <w:shd w:val="clear"/>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w:t>
            </w:r>
          </w:p>
        </w:tc>
        <w:tc>
          <w:tcPr>
            <w:tcW w:w="111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口腔护理教学实训系统</w:t>
            </w:r>
          </w:p>
        </w:tc>
        <w:tc>
          <w:tcPr>
            <w:tcW w:w="6197"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top"/>
          </w:tcPr>
          <w:p>
            <w:pPr>
              <w:keepNext w:val="0"/>
              <w:keepLines w:val="0"/>
              <w:widowControl/>
              <w:suppressLineNumbers w:val="0"/>
              <w:jc w:val="left"/>
              <w:textAlignment w:val="top"/>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1.★口腔护理虚拟仿真实训教学系统，护理专业专用，不含口腔外科备牙、根管、种植等医师操作模块。</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2.硬件配置：86英寸4K触控教学一体机（Android 14+，8核CPU，4GB+32GB，含移动支架）。</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3.软件功能模块：</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   3.1 口腔解剖3D交互模块：可旋转、拆解的口腔颌面部3D模型，标注解剖结构，支持交互查询。</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   3.2 口腔评估实训模块：虚拟病人案例库不少于20个，涵盖正常口腔、龋齿、牙周病、黏膜病变、义齿等不同场景，学生进行虚拟口腔检查、异常体征识别、评估记录。</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   3.3 基础口腔护理操作模块：口腔擦洗术、口腔冲洗术、义齿清洁护理、特殊病人口腔护理，分步引导操作，错误实时提示。</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   3.4 四手操作配合模块：器械传递、吸唾配合、器械清点，虚拟工位双人配合训练。</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   3.5 院感与消毒灭菌模块：器械清洗-打包-灭菌全流程虚拟操作，职业防护穿戴训练，医疗废物分类处置。</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   3.6 口腔健康宣教模块：巴氏刷牙法、牙线使用、漱口指导，虚拟健康宣教演练。</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4.考核管理：</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   - 理论考试：内置题库不少于500题，支持自动组卷、在线考试、自动评分。</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   - 操作考核：操作步骤自动评分、错误点记录、实训报告导出。</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   - 教师后台：学生管理、班级管理、成绩统计、报表导出（Excel）。</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5.★软件著作权：提供软件著作权登记证书，软件通过第三方检测机构检测。</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6.部署方式：本地一体机安装运行，支持离线使用，无需联网。</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7.★配套资源：内置标准化操作视频不少于20个（内容包含：银汞合金的调拌方法、玻璃离子粘固粉的调拌方法、磷酸锌粘固粉的调拌方法、氧化锌丁香粘固粉的调拌方法、氢氧化钙双糊剂的调拌方法、聚羧酸锌粘固粉的调拌方法、藻酸盐印模材料的调拌方法、亲水型硅橡胶印模材料的调拌方法、石膏模型的制作方法、复用口腔器械的手工清洗、复用口腔器械的机械清洗、牙科手机清洗及保养、器械消毒与灭菌、窝洞充填术（银汞）的护理配合、窝洞充填术（树脂）的护理配合、根管治疗术的护理配合、窝沟封闭术的护理配合、固定矫治器的护理配合、基牙预备的护理配合、暂时性冠桥修复术的护理配合。），每个视频≥5分钟，真人演示。</w:t>
            </w:r>
            <w:r>
              <w:rPr>
                <w:rFonts w:hint="eastAsia" w:ascii="宋体" w:hAnsi="宋体" w:eastAsia="宋体" w:cs="宋体"/>
                <w:i w:val="0"/>
                <w:color w:val="FF0000"/>
                <w:kern w:val="0"/>
                <w:sz w:val="22"/>
                <w:szCs w:val="22"/>
                <w:u w:val="none"/>
                <w:bdr w:val="none" w:color="auto" w:sz="0" w:space="0"/>
                <w:lang w:val="en-US" w:eastAsia="zh-CN" w:bidi="ar"/>
              </w:rPr>
              <w:t>（演示项：提供视频≥5分钟连续不间断演示佐证）</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8.资质要求：原厂质保≥3年，提供上门安装、师资培训。</w:t>
            </w:r>
          </w:p>
        </w:tc>
        <w:tc>
          <w:tcPr>
            <w:tcW w:w="679"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111111"/>
                <w:sz w:val="22"/>
                <w:szCs w:val="22"/>
                <w:u w:val="none"/>
              </w:rPr>
            </w:pPr>
            <w:r>
              <w:rPr>
                <w:rFonts w:hint="eastAsia" w:ascii="宋体" w:hAnsi="宋体" w:eastAsia="宋体" w:cs="宋体"/>
                <w:i w:val="0"/>
                <w:color w:val="111111"/>
                <w:kern w:val="0"/>
                <w:sz w:val="22"/>
                <w:szCs w:val="22"/>
                <w:u w:val="none"/>
                <w:bdr w:val="none" w:color="auto" w:sz="0" w:space="0"/>
                <w:lang w:val="en-US" w:eastAsia="zh-CN" w:bidi="ar"/>
              </w:rPr>
              <w:t>1套</w:t>
            </w:r>
          </w:p>
        </w:tc>
        <w:tc>
          <w:tcPr>
            <w:tcW w:w="6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6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280" w:hRule="atLeast"/>
        </w:trPr>
        <w:tc>
          <w:tcPr>
            <w:tcW w:w="408" w:type="dxa"/>
            <w:tcBorders>
              <w:top w:val="single" w:color="000000" w:sz="4" w:space="0"/>
              <w:left w:val="single" w:color="000000" w:sz="4" w:space="0"/>
              <w:bottom w:val="nil"/>
              <w:right w:val="single" w:color="000000" w:sz="4" w:space="0"/>
            </w:tcBorders>
            <w:shd w:val="clear"/>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w:t>
            </w:r>
          </w:p>
        </w:tc>
        <w:tc>
          <w:tcPr>
            <w:tcW w:w="1118" w:type="dxa"/>
            <w:tcBorders>
              <w:top w:val="single" w:color="000000" w:sz="4" w:space="0"/>
              <w:left w:val="single" w:color="000000" w:sz="4" w:space="0"/>
              <w:bottom w:val="nil"/>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配套辅材与家具</w:t>
            </w:r>
          </w:p>
        </w:tc>
        <w:tc>
          <w:tcPr>
            <w:tcW w:w="6197"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top"/>
          </w:tcPr>
          <w:p>
            <w:pPr>
              <w:keepNext w:val="0"/>
              <w:keepLines w:val="0"/>
              <w:widowControl/>
              <w:suppressLineNumbers w:val="0"/>
              <w:jc w:val="left"/>
              <w:textAlignment w:val="top"/>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1.★整套实训室配套家具及辅材，适配口腔护理实训室建设需求：</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2.实训操作台（带水斗）：</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   - 规格：长×宽×高≈1200mm×600mm×800mm，钢木结构，台面实芯理化板耐腐蚀。</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   - 配置：带水槽、冷热水龙头、脚踏感应出水，台面上预留头模安装位、电源插座（每个工位2个五孔+1个USB）。</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   - 数量：5组（每组2个学生工位，共10工位）。</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3.器械储物柜：</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   - 钢制储物柜，带锁，防潮防锈，用于存放器械、耗材、教学资料。</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   - 数量：2组，每组4门。</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4.医用移动推车：</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   - 三层不锈钢推车，带刹车轮，用于器械转运、消毒物资配送。</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   - 数量：2辆。</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5.教师示教台配套：</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   - 教师操作椅（可升降、带靠背）×1</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   - 护士辅助椅×1</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6.实训边柜：</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   - 不锈钢边柜，带抽屉和柜门，用于教师工位周边收纳。</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 xml:space="preserve">   - 数量：1组。</w:t>
            </w:r>
            <w:r>
              <w:rPr>
                <w:rFonts w:hint="eastAsia" w:ascii="宋体" w:hAnsi="宋体" w:eastAsia="宋体" w:cs="宋体"/>
                <w:i w:val="0"/>
                <w:color w:val="000000"/>
                <w:kern w:val="0"/>
                <w:sz w:val="22"/>
                <w:szCs w:val="22"/>
                <w:u w:val="none"/>
                <w:bdr w:val="none" w:color="auto" w:sz="0" w:space="0"/>
                <w:lang w:val="en-US" w:eastAsia="zh-CN" w:bidi="ar"/>
              </w:rPr>
              <w:br w:type="textWrapping"/>
            </w:r>
            <w:r>
              <w:rPr>
                <w:rFonts w:hint="eastAsia" w:ascii="宋体" w:hAnsi="宋体" w:eastAsia="宋体" w:cs="宋体"/>
                <w:i w:val="0"/>
                <w:color w:val="000000"/>
                <w:kern w:val="0"/>
                <w:sz w:val="22"/>
                <w:szCs w:val="22"/>
                <w:u w:val="none"/>
                <w:bdr w:val="none" w:color="auto" w:sz="0" w:space="0"/>
                <w:lang w:val="en-US" w:eastAsia="zh-CN" w:bidi="ar"/>
              </w:rPr>
              <w:t>7.所有家具符合E1级环保标准，钢材厚度≥1.0mm，表面静电喷塑。</w:t>
            </w:r>
          </w:p>
        </w:tc>
        <w:tc>
          <w:tcPr>
            <w:tcW w:w="679"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1套</w:t>
            </w:r>
          </w:p>
        </w:tc>
        <w:tc>
          <w:tcPr>
            <w:tcW w:w="6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6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468" w:hRule="atLeast"/>
        </w:trPr>
        <w:tc>
          <w:tcPr>
            <w:tcW w:w="9770" w:type="dxa"/>
            <w:gridSpan w:val="6"/>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both"/>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合计：小写：      元、大写：                           元整。</w:t>
            </w:r>
            <w:bookmarkStart w:id="0" w:name="_GoBack"/>
            <w:bookmarkEnd w:id="0"/>
          </w:p>
        </w:tc>
      </w:tr>
    </w:tbl>
    <w:p>
      <w:pPr>
        <w:pStyle w:val="2"/>
        <w:rPr>
          <w:rFonts w:hint="eastAsia"/>
          <w:lang w:val="en-US" w:eastAsia="zh-CN"/>
        </w:rPr>
      </w:pPr>
    </w:p>
    <w:p>
      <w:pPr>
        <w:pStyle w:val="2"/>
        <w:rPr>
          <w:rFonts w:hint="eastAsia"/>
          <w:lang w:val="en-US" w:eastAsia="zh-CN"/>
        </w:rPr>
      </w:pPr>
    </w:p>
    <w:sectPr>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Cambria">
    <w:panose1 w:val="02040503050406030204"/>
    <w:charset w:val="00"/>
    <w:family w:val="roman"/>
    <w:pitch w:val="default"/>
    <w:sig w:usb0="E00002FF" w:usb1="400004FF" w:usb2="00000000" w:usb3="00000000" w:csb0="2000019F" w:csb1="00000000"/>
  </w:font>
  <w:font w:name="serif">
    <w:altName w:val="Segoe Print"/>
    <w:panose1 w:val="00000000000000000000"/>
    <w:charset w:val="00"/>
    <w:family w:val="auto"/>
    <w:pitch w:val="default"/>
    <w:sig w:usb0="00000000" w:usb1="00000000" w:usb2="00000000" w:usb3="00000000" w:csb0="00000000" w:csb1="00000000"/>
  </w:font>
  <w:font w:name="MingLiU">
    <w:panose1 w:val="02020509000000000000"/>
    <w:charset w:val="88"/>
    <w:family w:val="modern"/>
    <w:pitch w:val="default"/>
    <w:sig w:usb0="A00002FF" w:usb1="28CFFCFA" w:usb2="00000016" w:usb3="00000000" w:csb0="00100001" w:csb1="00000000"/>
  </w:font>
  <w:font w:name="Segoe UI">
    <w:panose1 w:val="020B0502040204020203"/>
    <w:charset w:val="00"/>
    <w:family w:val="swiss"/>
    <w:pitch w:val="default"/>
    <w:sig w:usb0="E10022FF" w:usb1="C000E47F" w:usb2="00000029" w:usb3="00000000" w:csb0="200001DF" w:csb1="2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1MTRmOTU4Y2E2MTZlMTJjMGZlNTE3YTZjOWNiOTcifQ=="/>
  </w:docVars>
  <w:rsids>
    <w:rsidRoot w:val="00172A27"/>
    <w:rsid w:val="00017A2A"/>
    <w:rsid w:val="00030B49"/>
    <w:rsid w:val="000453DB"/>
    <w:rsid w:val="00056BCB"/>
    <w:rsid w:val="000575DA"/>
    <w:rsid w:val="00080A1F"/>
    <w:rsid w:val="000B58CC"/>
    <w:rsid w:val="000C0EF6"/>
    <w:rsid w:val="000F36C7"/>
    <w:rsid w:val="000F5A98"/>
    <w:rsid w:val="00105910"/>
    <w:rsid w:val="001100C5"/>
    <w:rsid w:val="00125A09"/>
    <w:rsid w:val="00144DED"/>
    <w:rsid w:val="001603D4"/>
    <w:rsid w:val="00180608"/>
    <w:rsid w:val="001A6BFF"/>
    <w:rsid w:val="001B3C37"/>
    <w:rsid w:val="001D30ED"/>
    <w:rsid w:val="001E0164"/>
    <w:rsid w:val="001E41A5"/>
    <w:rsid w:val="00210941"/>
    <w:rsid w:val="00222990"/>
    <w:rsid w:val="00224510"/>
    <w:rsid w:val="003311B6"/>
    <w:rsid w:val="00332553"/>
    <w:rsid w:val="00364831"/>
    <w:rsid w:val="00373767"/>
    <w:rsid w:val="00373DF8"/>
    <w:rsid w:val="00384FAF"/>
    <w:rsid w:val="0038717C"/>
    <w:rsid w:val="003A11ED"/>
    <w:rsid w:val="003A2273"/>
    <w:rsid w:val="003B2BAF"/>
    <w:rsid w:val="003C7434"/>
    <w:rsid w:val="003F6309"/>
    <w:rsid w:val="00402610"/>
    <w:rsid w:val="0043404B"/>
    <w:rsid w:val="004671B9"/>
    <w:rsid w:val="00473422"/>
    <w:rsid w:val="00481962"/>
    <w:rsid w:val="00482E27"/>
    <w:rsid w:val="004924AA"/>
    <w:rsid w:val="004925B5"/>
    <w:rsid w:val="00494220"/>
    <w:rsid w:val="004B2FAC"/>
    <w:rsid w:val="004C7CE3"/>
    <w:rsid w:val="00525742"/>
    <w:rsid w:val="00542E36"/>
    <w:rsid w:val="00545E92"/>
    <w:rsid w:val="00584AB4"/>
    <w:rsid w:val="005978FF"/>
    <w:rsid w:val="005A1189"/>
    <w:rsid w:val="005A3D51"/>
    <w:rsid w:val="005C16AF"/>
    <w:rsid w:val="005D6743"/>
    <w:rsid w:val="005E6CB9"/>
    <w:rsid w:val="005F46C2"/>
    <w:rsid w:val="006170DA"/>
    <w:rsid w:val="00642F5F"/>
    <w:rsid w:val="006747E7"/>
    <w:rsid w:val="006A4969"/>
    <w:rsid w:val="00717024"/>
    <w:rsid w:val="00740B73"/>
    <w:rsid w:val="007625BA"/>
    <w:rsid w:val="00780DD7"/>
    <w:rsid w:val="007B1857"/>
    <w:rsid w:val="007C175D"/>
    <w:rsid w:val="007C49F2"/>
    <w:rsid w:val="00802619"/>
    <w:rsid w:val="00842182"/>
    <w:rsid w:val="00871489"/>
    <w:rsid w:val="00880803"/>
    <w:rsid w:val="00887312"/>
    <w:rsid w:val="008932CD"/>
    <w:rsid w:val="008D6685"/>
    <w:rsid w:val="008F28F4"/>
    <w:rsid w:val="009344B4"/>
    <w:rsid w:val="00945D3B"/>
    <w:rsid w:val="009645C7"/>
    <w:rsid w:val="009A78D3"/>
    <w:rsid w:val="009B5D61"/>
    <w:rsid w:val="009D0739"/>
    <w:rsid w:val="00A450FC"/>
    <w:rsid w:val="00A54CDE"/>
    <w:rsid w:val="00A72837"/>
    <w:rsid w:val="00AB47DE"/>
    <w:rsid w:val="00AC50F9"/>
    <w:rsid w:val="00B075FD"/>
    <w:rsid w:val="00B261B3"/>
    <w:rsid w:val="00B423DE"/>
    <w:rsid w:val="00B57736"/>
    <w:rsid w:val="00B60CE2"/>
    <w:rsid w:val="00B61CE9"/>
    <w:rsid w:val="00B8154A"/>
    <w:rsid w:val="00BA67DC"/>
    <w:rsid w:val="00BB2298"/>
    <w:rsid w:val="00BD1941"/>
    <w:rsid w:val="00BD516F"/>
    <w:rsid w:val="00BE25B3"/>
    <w:rsid w:val="00C524F3"/>
    <w:rsid w:val="00C55D91"/>
    <w:rsid w:val="00C57B99"/>
    <w:rsid w:val="00C86180"/>
    <w:rsid w:val="00C94C83"/>
    <w:rsid w:val="00CB1135"/>
    <w:rsid w:val="00CD5112"/>
    <w:rsid w:val="00D0209A"/>
    <w:rsid w:val="00D1358D"/>
    <w:rsid w:val="00D43755"/>
    <w:rsid w:val="00D4619C"/>
    <w:rsid w:val="00D526C0"/>
    <w:rsid w:val="00D559C5"/>
    <w:rsid w:val="00D74941"/>
    <w:rsid w:val="00DD0B6F"/>
    <w:rsid w:val="00DE3399"/>
    <w:rsid w:val="00DE51EA"/>
    <w:rsid w:val="00DF53A1"/>
    <w:rsid w:val="00E069F2"/>
    <w:rsid w:val="00E1142D"/>
    <w:rsid w:val="00E243C5"/>
    <w:rsid w:val="00E334B6"/>
    <w:rsid w:val="00E42FDB"/>
    <w:rsid w:val="00E572D4"/>
    <w:rsid w:val="00E84103"/>
    <w:rsid w:val="00E91D0B"/>
    <w:rsid w:val="00EB7687"/>
    <w:rsid w:val="00F23092"/>
    <w:rsid w:val="00F31A2E"/>
    <w:rsid w:val="00F64D17"/>
    <w:rsid w:val="00FD06DF"/>
    <w:rsid w:val="00FF572E"/>
    <w:rsid w:val="01F947C1"/>
    <w:rsid w:val="037137FD"/>
    <w:rsid w:val="04904570"/>
    <w:rsid w:val="05036529"/>
    <w:rsid w:val="050E2ECE"/>
    <w:rsid w:val="051A55B3"/>
    <w:rsid w:val="06A27B74"/>
    <w:rsid w:val="07466AC9"/>
    <w:rsid w:val="07B34C14"/>
    <w:rsid w:val="07E5675F"/>
    <w:rsid w:val="080832CD"/>
    <w:rsid w:val="084531A0"/>
    <w:rsid w:val="084A68F4"/>
    <w:rsid w:val="084D532E"/>
    <w:rsid w:val="08BC4608"/>
    <w:rsid w:val="0A854A2B"/>
    <w:rsid w:val="0ABD57CC"/>
    <w:rsid w:val="0AE87F1A"/>
    <w:rsid w:val="0B59604C"/>
    <w:rsid w:val="0B831F9A"/>
    <w:rsid w:val="0C2D1C9E"/>
    <w:rsid w:val="0C8D7DF3"/>
    <w:rsid w:val="0CAB3131"/>
    <w:rsid w:val="0DF7766E"/>
    <w:rsid w:val="0E4112D9"/>
    <w:rsid w:val="0E737964"/>
    <w:rsid w:val="0E840851"/>
    <w:rsid w:val="0EC4295E"/>
    <w:rsid w:val="0EC6083C"/>
    <w:rsid w:val="0F681EA2"/>
    <w:rsid w:val="0FEA595D"/>
    <w:rsid w:val="10367A2C"/>
    <w:rsid w:val="10703A7C"/>
    <w:rsid w:val="112C6D93"/>
    <w:rsid w:val="12656004"/>
    <w:rsid w:val="13B16302"/>
    <w:rsid w:val="1403756B"/>
    <w:rsid w:val="14F31E7A"/>
    <w:rsid w:val="14FC2F9D"/>
    <w:rsid w:val="15562691"/>
    <w:rsid w:val="157848CA"/>
    <w:rsid w:val="160903E8"/>
    <w:rsid w:val="170462F8"/>
    <w:rsid w:val="17195864"/>
    <w:rsid w:val="17AE352F"/>
    <w:rsid w:val="18DF3200"/>
    <w:rsid w:val="193910E5"/>
    <w:rsid w:val="195135D8"/>
    <w:rsid w:val="1A7D5684"/>
    <w:rsid w:val="1AC15311"/>
    <w:rsid w:val="1B134EC3"/>
    <w:rsid w:val="1C2C52C5"/>
    <w:rsid w:val="1CAD5CEA"/>
    <w:rsid w:val="1D113FA4"/>
    <w:rsid w:val="1D5B7B20"/>
    <w:rsid w:val="1E8F3ED4"/>
    <w:rsid w:val="20371A9D"/>
    <w:rsid w:val="20E76CAB"/>
    <w:rsid w:val="21394209"/>
    <w:rsid w:val="21EA0F6E"/>
    <w:rsid w:val="231C7821"/>
    <w:rsid w:val="234F706A"/>
    <w:rsid w:val="237B095A"/>
    <w:rsid w:val="241C27E5"/>
    <w:rsid w:val="24DB4A8C"/>
    <w:rsid w:val="259E1B40"/>
    <w:rsid w:val="25A07E30"/>
    <w:rsid w:val="26D05631"/>
    <w:rsid w:val="26E23F50"/>
    <w:rsid w:val="27E20B06"/>
    <w:rsid w:val="27FC47B5"/>
    <w:rsid w:val="287E141C"/>
    <w:rsid w:val="28B8629B"/>
    <w:rsid w:val="28CD15BF"/>
    <w:rsid w:val="2A067046"/>
    <w:rsid w:val="2AB11F9F"/>
    <w:rsid w:val="2ACB3D96"/>
    <w:rsid w:val="2B813F30"/>
    <w:rsid w:val="2B9525BA"/>
    <w:rsid w:val="2BA47F84"/>
    <w:rsid w:val="2BA70D47"/>
    <w:rsid w:val="2BB72189"/>
    <w:rsid w:val="2BC20EB0"/>
    <w:rsid w:val="2BFA58CF"/>
    <w:rsid w:val="2C0D1342"/>
    <w:rsid w:val="2CE22C39"/>
    <w:rsid w:val="2CFC063C"/>
    <w:rsid w:val="2D0642A7"/>
    <w:rsid w:val="2D2674F0"/>
    <w:rsid w:val="2DEF43FE"/>
    <w:rsid w:val="2E4C334A"/>
    <w:rsid w:val="2E735FF0"/>
    <w:rsid w:val="2F3D4C69"/>
    <w:rsid w:val="2FD62398"/>
    <w:rsid w:val="30AF4379"/>
    <w:rsid w:val="30F77E7A"/>
    <w:rsid w:val="310A1609"/>
    <w:rsid w:val="313724A3"/>
    <w:rsid w:val="314A2369"/>
    <w:rsid w:val="314F75C7"/>
    <w:rsid w:val="31E71C02"/>
    <w:rsid w:val="31FA4D5D"/>
    <w:rsid w:val="32DD68D2"/>
    <w:rsid w:val="33266B77"/>
    <w:rsid w:val="336E46FF"/>
    <w:rsid w:val="339A2D55"/>
    <w:rsid w:val="33A610DA"/>
    <w:rsid w:val="352C0B45"/>
    <w:rsid w:val="35946AAA"/>
    <w:rsid w:val="36E11B91"/>
    <w:rsid w:val="36F0387E"/>
    <w:rsid w:val="370F1C04"/>
    <w:rsid w:val="3717002F"/>
    <w:rsid w:val="37344B40"/>
    <w:rsid w:val="376F22B9"/>
    <w:rsid w:val="37762B2D"/>
    <w:rsid w:val="37CC1338"/>
    <w:rsid w:val="38AC5308"/>
    <w:rsid w:val="390C744C"/>
    <w:rsid w:val="39FA3AED"/>
    <w:rsid w:val="3A486159"/>
    <w:rsid w:val="3AAC7696"/>
    <w:rsid w:val="3AE86BAC"/>
    <w:rsid w:val="3B4D6C4F"/>
    <w:rsid w:val="3BEA48CE"/>
    <w:rsid w:val="3C7D054E"/>
    <w:rsid w:val="3CFC1165"/>
    <w:rsid w:val="3D015A8B"/>
    <w:rsid w:val="3D334134"/>
    <w:rsid w:val="3D415E88"/>
    <w:rsid w:val="3D756085"/>
    <w:rsid w:val="3EBB220E"/>
    <w:rsid w:val="3F291FD7"/>
    <w:rsid w:val="3F714EB4"/>
    <w:rsid w:val="3FE700DA"/>
    <w:rsid w:val="400F5387"/>
    <w:rsid w:val="409E6959"/>
    <w:rsid w:val="40E33CB6"/>
    <w:rsid w:val="40E672A8"/>
    <w:rsid w:val="421B5AB1"/>
    <w:rsid w:val="42FA78AA"/>
    <w:rsid w:val="436A71FB"/>
    <w:rsid w:val="446A2A35"/>
    <w:rsid w:val="45472443"/>
    <w:rsid w:val="45726CAD"/>
    <w:rsid w:val="45E75B72"/>
    <w:rsid w:val="46787084"/>
    <w:rsid w:val="46F25FA8"/>
    <w:rsid w:val="472F74AE"/>
    <w:rsid w:val="497154DF"/>
    <w:rsid w:val="4A364969"/>
    <w:rsid w:val="4B3710C6"/>
    <w:rsid w:val="4C5338DC"/>
    <w:rsid w:val="4C661EAD"/>
    <w:rsid w:val="4C8E350F"/>
    <w:rsid w:val="4C967C71"/>
    <w:rsid w:val="4D143759"/>
    <w:rsid w:val="4DF14748"/>
    <w:rsid w:val="4FDA5DC0"/>
    <w:rsid w:val="511D7321"/>
    <w:rsid w:val="52172637"/>
    <w:rsid w:val="521B665C"/>
    <w:rsid w:val="52DE7538"/>
    <w:rsid w:val="53D6057F"/>
    <w:rsid w:val="550E655A"/>
    <w:rsid w:val="55677B7D"/>
    <w:rsid w:val="55751482"/>
    <w:rsid w:val="55A44E60"/>
    <w:rsid w:val="55BE0C0A"/>
    <w:rsid w:val="563E56D8"/>
    <w:rsid w:val="56793777"/>
    <w:rsid w:val="56D23F20"/>
    <w:rsid w:val="57524BAD"/>
    <w:rsid w:val="58696FE1"/>
    <w:rsid w:val="58967865"/>
    <w:rsid w:val="58DB0E89"/>
    <w:rsid w:val="59FD5891"/>
    <w:rsid w:val="5A2D31D7"/>
    <w:rsid w:val="5A4001CD"/>
    <w:rsid w:val="5A827677"/>
    <w:rsid w:val="5B46758A"/>
    <w:rsid w:val="5B7E5A0A"/>
    <w:rsid w:val="5B8007D7"/>
    <w:rsid w:val="5CC37E03"/>
    <w:rsid w:val="5D3C6E24"/>
    <w:rsid w:val="5D565CCA"/>
    <w:rsid w:val="5DD93569"/>
    <w:rsid w:val="5DDE13DF"/>
    <w:rsid w:val="5DEB0DD3"/>
    <w:rsid w:val="5ED66C02"/>
    <w:rsid w:val="5FBE0A6E"/>
    <w:rsid w:val="5FDF0124"/>
    <w:rsid w:val="60AE143D"/>
    <w:rsid w:val="61810A7F"/>
    <w:rsid w:val="61AA1436"/>
    <w:rsid w:val="62E969E6"/>
    <w:rsid w:val="62FA4553"/>
    <w:rsid w:val="635F6889"/>
    <w:rsid w:val="64074E06"/>
    <w:rsid w:val="648A6BD3"/>
    <w:rsid w:val="652B354E"/>
    <w:rsid w:val="65E41CEC"/>
    <w:rsid w:val="65FC1843"/>
    <w:rsid w:val="66F44F9A"/>
    <w:rsid w:val="6703567D"/>
    <w:rsid w:val="677F6F32"/>
    <w:rsid w:val="680A110C"/>
    <w:rsid w:val="68242688"/>
    <w:rsid w:val="6873134A"/>
    <w:rsid w:val="68BF6EFA"/>
    <w:rsid w:val="68DF31E0"/>
    <w:rsid w:val="68F77EE8"/>
    <w:rsid w:val="6A473E6C"/>
    <w:rsid w:val="6C3A4D28"/>
    <w:rsid w:val="6C476A65"/>
    <w:rsid w:val="6D1143E7"/>
    <w:rsid w:val="6D243D76"/>
    <w:rsid w:val="6EEB6630"/>
    <w:rsid w:val="70A70FB3"/>
    <w:rsid w:val="70EF3BC6"/>
    <w:rsid w:val="70FE0565"/>
    <w:rsid w:val="71065830"/>
    <w:rsid w:val="714025C6"/>
    <w:rsid w:val="717B04E2"/>
    <w:rsid w:val="72451486"/>
    <w:rsid w:val="726A3B6F"/>
    <w:rsid w:val="739326B7"/>
    <w:rsid w:val="739864CD"/>
    <w:rsid w:val="73A1555E"/>
    <w:rsid w:val="73DC7DFF"/>
    <w:rsid w:val="74383190"/>
    <w:rsid w:val="747D4382"/>
    <w:rsid w:val="74EB34EA"/>
    <w:rsid w:val="75170C43"/>
    <w:rsid w:val="751747F8"/>
    <w:rsid w:val="752A0060"/>
    <w:rsid w:val="755161DC"/>
    <w:rsid w:val="75546E5B"/>
    <w:rsid w:val="7594657A"/>
    <w:rsid w:val="777F323F"/>
    <w:rsid w:val="78AA53A5"/>
    <w:rsid w:val="78B0277B"/>
    <w:rsid w:val="78FD1A99"/>
    <w:rsid w:val="79196E60"/>
    <w:rsid w:val="7A5A27EE"/>
    <w:rsid w:val="7ABA1344"/>
    <w:rsid w:val="7AE36DFF"/>
    <w:rsid w:val="7D225AFC"/>
    <w:rsid w:val="7D673CC8"/>
    <w:rsid w:val="7D740341"/>
    <w:rsid w:val="7DAC327C"/>
    <w:rsid w:val="7E480EBC"/>
    <w:rsid w:val="7E83137B"/>
    <w:rsid w:val="7EE82894"/>
    <w:rsid w:val="7F084957"/>
    <w:rsid w:val="7F2D06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qFormat="1"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48"/>
    <w:qFormat/>
    <w:uiPriority w:val="9"/>
    <w:pPr>
      <w:keepNext/>
      <w:keepLines/>
      <w:spacing w:before="340" w:after="330" w:line="576" w:lineRule="auto"/>
      <w:outlineLvl w:val="0"/>
    </w:pPr>
    <w:rPr>
      <w:rFonts w:ascii="Times New Roman" w:hAnsi="Times New Roman" w:eastAsia="宋体" w:cs="Times New Roman"/>
      <w:b/>
      <w:kern w:val="44"/>
      <w:sz w:val="32"/>
      <w:szCs w:val="20"/>
    </w:rPr>
  </w:style>
  <w:style w:type="paragraph" w:styleId="4">
    <w:name w:val="heading 2"/>
    <w:basedOn w:val="1"/>
    <w:next w:val="1"/>
    <w:link w:val="74"/>
    <w:unhideWhenUsed/>
    <w:qFormat/>
    <w:uiPriority w:val="0"/>
    <w:pPr>
      <w:spacing w:line="360" w:lineRule="auto"/>
      <w:ind w:firstLine="480" w:firstLineChars="200"/>
      <w:outlineLvl w:val="1"/>
    </w:pPr>
    <w:rPr>
      <w:rFonts w:ascii="黑体" w:hAnsi="黑体" w:eastAsia="黑体" w:cs="Times New Roman"/>
      <w:sz w:val="32"/>
      <w:szCs w:val="24"/>
    </w:rPr>
  </w:style>
  <w:style w:type="paragraph" w:styleId="5">
    <w:name w:val="heading 3"/>
    <w:basedOn w:val="1"/>
    <w:next w:val="1"/>
    <w:link w:val="75"/>
    <w:semiHidden/>
    <w:unhideWhenUsed/>
    <w:qFormat/>
    <w:uiPriority w:val="9"/>
    <w:pPr>
      <w:keepNext/>
      <w:keepLines/>
      <w:spacing w:before="260" w:after="260" w:line="416" w:lineRule="auto"/>
      <w:outlineLvl w:val="2"/>
    </w:pPr>
    <w:rPr>
      <w:rFonts w:ascii="等线" w:hAnsi="等线" w:eastAsia="等线" w:cs="Times New Roman"/>
      <w:b/>
      <w:bCs/>
      <w:sz w:val="32"/>
      <w:szCs w:val="32"/>
    </w:rPr>
  </w:style>
  <w:style w:type="paragraph" w:styleId="6">
    <w:name w:val="heading 4"/>
    <w:basedOn w:val="1"/>
    <w:next w:val="1"/>
    <w:link w:val="76"/>
    <w:semiHidden/>
    <w:unhideWhenUsed/>
    <w:qFormat/>
    <w:uiPriority w:val="9"/>
    <w:pPr>
      <w:keepNext/>
      <w:keepLines/>
      <w:spacing w:before="280" w:after="290" w:line="376" w:lineRule="auto"/>
      <w:outlineLvl w:val="3"/>
    </w:pPr>
    <w:rPr>
      <w:rFonts w:ascii="等线 Light" w:hAnsi="等线 Light" w:eastAsia="等线 Light" w:cs="Times New Roman"/>
      <w:b/>
      <w:bCs/>
      <w:sz w:val="28"/>
      <w:szCs w:val="28"/>
    </w:rPr>
  </w:style>
  <w:style w:type="paragraph" w:styleId="7">
    <w:name w:val="heading 5"/>
    <w:basedOn w:val="1"/>
    <w:next w:val="1"/>
    <w:unhideWhenUsed/>
    <w:qFormat/>
    <w:uiPriority w:val="9"/>
    <w:pPr>
      <w:keepNext/>
      <w:keepLines/>
      <w:spacing w:before="280" w:after="290" w:line="376" w:lineRule="auto"/>
      <w:outlineLvl w:val="4"/>
    </w:pPr>
    <w:rPr>
      <w:rFonts w:asciiTheme="minorHAnsi" w:hAnsiTheme="minorHAnsi" w:eastAsiaTheme="minorEastAsia" w:cstheme="minorBidi"/>
      <w:b/>
      <w:bCs/>
      <w:sz w:val="28"/>
      <w:szCs w:val="28"/>
    </w:rPr>
  </w:style>
  <w:style w:type="character" w:default="1" w:styleId="22">
    <w:name w:val="Default Paragraph Font"/>
    <w:semiHidden/>
    <w:unhideWhenUsed/>
    <w:qFormat/>
    <w:uiPriority w:val="1"/>
  </w:style>
  <w:style w:type="table" w:default="1" w:styleId="34">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1"/>
    <w:link w:val="78"/>
    <w:unhideWhenUsed/>
    <w:qFormat/>
    <w:uiPriority w:val="99"/>
    <w:pPr>
      <w:spacing w:after="120"/>
    </w:pPr>
    <w:rPr>
      <w:rFonts w:ascii="Times New Roman" w:hAnsi="Times New Roman" w:eastAsia="宋体" w:cs="Times New Roman"/>
      <w:sz w:val="28"/>
      <w:szCs w:val="20"/>
    </w:rPr>
  </w:style>
  <w:style w:type="paragraph" w:styleId="8">
    <w:name w:val="annotation subject"/>
    <w:basedOn w:val="9"/>
    <w:next w:val="9"/>
    <w:link w:val="91"/>
    <w:unhideWhenUsed/>
    <w:qFormat/>
    <w:uiPriority w:val="99"/>
    <w:rPr>
      <w:rFonts w:asciiTheme="minorHAnsi" w:hAnsiTheme="minorHAnsi" w:eastAsiaTheme="minorEastAsia" w:cstheme="minorBidi"/>
      <w:b/>
      <w:bCs/>
      <w:szCs w:val="22"/>
    </w:rPr>
  </w:style>
  <w:style w:type="paragraph" w:styleId="9">
    <w:name w:val="annotation text"/>
    <w:basedOn w:val="1"/>
    <w:link w:val="77"/>
    <w:qFormat/>
    <w:uiPriority w:val="99"/>
    <w:pPr>
      <w:jc w:val="left"/>
    </w:pPr>
    <w:rPr>
      <w:rFonts w:ascii="Calibri" w:hAnsi="Calibri" w:eastAsia="宋体" w:cs="Calibri"/>
      <w:szCs w:val="21"/>
    </w:rPr>
  </w:style>
  <w:style w:type="paragraph" w:styleId="10">
    <w:name w:val="Body Text First Indent"/>
    <w:basedOn w:val="2"/>
    <w:unhideWhenUsed/>
    <w:qFormat/>
    <w:uiPriority w:val="99"/>
    <w:pPr>
      <w:ind w:firstLine="420" w:firstLineChars="100"/>
    </w:pPr>
  </w:style>
  <w:style w:type="paragraph" w:styleId="11">
    <w:name w:val="Body Text Indent"/>
    <w:basedOn w:val="1"/>
    <w:link w:val="93"/>
    <w:qFormat/>
    <w:uiPriority w:val="0"/>
    <w:pPr>
      <w:spacing w:after="120"/>
      <w:ind w:left="420" w:leftChars="200"/>
    </w:pPr>
  </w:style>
  <w:style w:type="paragraph" w:styleId="12">
    <w:name w:val="toc 3"/>
    <w:basedOn w:val="1"/>
    <w:next w:val="1"/>
    <w:unhideWhenUsed/>
    <w:qFormat/>
    <w:uiPriority w:val="39"/>
    <w:pPr>
      <w:tabs>
        <w:tab w:val="right" w:leader="middleDot" w:pos="8720"/>
      </w:tabs>
      <w:spacing w:line="480" w:lineRule="exact"/>
    </w:pPr>
    <w:rPr>
      <w:rFonts w:ascii="等线" w:hAnsi="等线" w:eastAsia="等线" w:cs="Times New Roman"/>
    </w:rPr>
  </w:style>
  <w:style w:type="paragraph" w:styleId="13">
    <w:name w:val="Date"/>
    <w:basedOn w:val="1"/>
    <w:next w:val="1"/>
    <w:link w:val="41"/>
    <w:unhideWhenUsed/>
    <w:qFormat/>
    <w:uiPriority w:val="99"/>
    <w:pPr>
      <w:ind w:left="100" w:leftChars="2500"/>
    </w:pPr>
  </w:style>
  <w:style w:type="paragraph" w:styleId="14">
    <w:name w:val="Balloon Text"/>
    <w:basedOn w:val="1"/>
    <w:link w:val="47"/>
    <w:unhideWhenUsed/>
    <w:qFormat/>
    <w:uiPriority w:val="99"/>
    <w:rPr>
      <w:sz w:val="18"/>
      <w:szCs w:val="18"/>
    </w:rPr>
  </w:style>
  <w:style w:type="paragraph" w:styleId="15">
    <w:name w:val="footer"/>
    <w:basedOn w:val="1"/>
    <w:link w:val="40"/>
    <w:unhideWhenUsed/>
    <w:qFormat/>
    <w:uiPriority w:val="99"/>
    <w:pPr>
      <w:tabs>
        <w:tab w:val="center" w:pos="4153"/>
        <w:tab w:val="right" w:pos="8306"/>
      </w:tabs>
      <w:snapToGrid w:val="0"/>
      <w:jc w:val="left"/>
    </w:pPr>
    <w:rPr>
      <w:sz w:val="18"/>
      <w:szCs w:val="18"/>
    </w:rPr>
  </w:style>
  <w:style w:type="paragraph" w:styleId="16">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unhideWhenUsed/>
    <w:qFormat/>
    <w:uiPriority w:val="39"/>
    <w:rPr>
      <w:rFonts w:ascii="等线" w:hAnsi="等线" w:eastAsia="等线" w:cs="Times New Roman"/>
    </w:rPr>
  </w:style>
  <w:style w:type="paragraph" w:styleId="18">
    <w:name w:val="toc 4"/>
    <w:basedOn w:val="1"/>
    <w:next w:val="1"/>
    <w:unhideWhenUsed/>
    <w:qFormat/>
    <w:uiPriority w:val="39"/>
    <w:pPr>
      <w:ind w:left="1260" w:leftChars="600"/>
    </w:pPr>
    <w:rPr>
      <w:rFonts w:ascii="等线" w:hAnsi="等线" w:eastAsia="等线" w:cs="Times New Roman"/>
    </w:rPr>
  </w:style>
  <w:style w:type="paragraph" w:styleId="19">
    <w:name w:val="toc 2"/>
    <w:basedOn w:val="1"/>
    <w:next w:val="1"/>
    <w:unhideWhenUsed/>
    <w:qFormat/>
    <w:uiPriority w:val="39"/>
    <w:pPr>
      <w:tabs>
        <w:tab w:val="right" w:leader="middleDot" w:pos="8720"/>
      </w:tabs>
      <w:spacing w:line="400" w:lineRule="exact"/>
      <w:ind w:left="420" w:leftChars="200"/>
    </w:pPr>
    <w:rPr>
      <w:rFonts w:ascii="等线" w:hAnsi="等线" w:eastAsia="等线" w:cs="Times New Roman"/>
    </w:rPr>
  </w:style>
  <w:style w:type="paragraph" w:styleId="20">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21">
    <w:name w:val="Title"/>
    <w:basedOn w:val="1"/>
    <w:next w:val="1"/>
    <w:qFormat/>
    <w:uiPriority w:val="10"/>
    <w:pPr>
      <w:spacing w:before="240" w:after="60"/>
      <w:jc w:val="center"/>
      <w:outlineLvl w:val="0"/>
    </w:pPr>
    <w:rPr>
      <w:rFonts w:ascii="Cambria" w:hAnsi="Cambria"/>
      <w:b/>
      <w:kern w:val="0"/>
      <w:sz w:val="32"/>
    </w:rPr>
  </w:style>
  <w:style w:type="character" w:styleId="23">
    <w:name w:val="Strong"/>
    <w:basedOn w:val="22"/>
    <w:qFormat/>
    <w:uiPriority w:val="22"/>
    <w:rPr>
      <w:b/>
      <w:bCs/>
    </w:rPr>
  </w:style>
  <w:style w:type="character" w:styleId="24">
    <w:name w:val="FollowedHyperlink"/>
    <w:basedOn w:val="22"/>
    <w:semiHidden/>
    <w:unhideWhenUsed/>
    <w:qFormat/>
    <w:uiPriority w:val="99"/>
    <w:rPr>
      <w:color w:val="800080"/>
      <w:u w:val="single"/>
    </w:rPr>
  </w:style>
  <w:style w:type="character" w:styleId="25">
    <w:name w:val="HTML Definition"/>
    <w:basedOn w:val="22"/>
    <w:semiHidden/>
    <w:unhideWhenUsed/>
    <w:qFormat/>
    <w:uiPriority w:val="99"/>
    <w:rPr>
      <w:i/>
      <w:iCs/>
    </w:rPr>
  </w:style>
  <w:style w:type="character" w:styleId="26">
    <w:name w:val="HTML Acronym"/>
    <w:basedOn w:val="22"/>
    <w:semiHidden/>
    <w:unhideWhenUsed/>
    <w:qFormat/>
    <w:uiPriority w:val="99"/>
  </w:style>
  <w:style w:type="character" w:styleId="27">
    <w:name w:val="HTML Variable"/>
    <w:basedOn w:val="22"/>
    <w:semiHidden/>
    <w:unhideWhenUsed/>
    <w:qFormat/>
    <w:uiPriority w:val="99"/>
  </w:style>
  <w:style w:type="character" w:styleId="28">
    <w:name w:val="Hyperlink"/>
    <w:basedOn w:val="22"/>
    <w:unhideWhenUsed/>
    <w:qFormat/>
    <w:uiPriority w:val="99"/>
    <w:rPr>
      <w:color w:val="0000FF"/>
      <w:u w:val="single"/>
    </w:rPr>
  </w:style>
  <w:style w:type="character" w:styleId="29">
    <w:name w:val="HTML Code"/>
    <w:basedOn w:val="22"/>
    <w:semiHidden/>
    <w:unhideWhenUsed/>
    <w:qFormat/>
    <w:uiPriority w:val="99"/>
    <w:rPr>
      <w:rFonts w:ascii="serif" w:hAnsi="serif" w:eastAsia="serif" w:cs="serif"/>
      <w:sz w:val="21"/>
      <w:szCs w:val="21"/>
    </w:rPr>
  </w:style>
  <w:style w:type="character" w:styleId="30">
    <w:name w:val="annotation reference"/>
    <w:basedOn w:val="22"/>
    <w:unhideWhenUsed/>
    <w:qFormat/>
    <w:uiPriority w:val="99"/>
    <w:rPr>
      <w:sz w:val="21"/>
      <w:szCs w:val="21"/>
    </w:rPr>
  </w:style>
  <w:style w:type="character" w:styleId="31">
    <w:name w:val="HTML Cite"/>
    <w:basedOn w:val="22"/>
    <w:semiHidden/>
    <w:unhideWhenUsed/>
    <w:qFormat/>
    <w:uiPriority w:val="99"/>
  </w:style>
  <w:style w:type="character" w:styleId="32">
    <w:name w:val="HTML Keyboard"/>
    <w:basedOn w:val="22"/>
    <w:semiHidden/>
    <w:unhideWhenUsed/>
    <w:qFormat/>
    <w:uiPriority w:val="99"/>
    <w:rPr>
      <w:rFonts w:hint="default" w:ascii="serif" w:hAnsi="serif" w:eastAsia="serif" w:cs="serif"/>
      <w:sz w:val="21"/>
      <w:szCs w:val="21"/>
    </w:rPr>
  </w:style>
  <w:style w:type="character" w:styleId="33">
    <w:name w:val="HTML Sample"/>
    <w:basedOn w:val="22"/>
    <w:semiHidden/>
    <w:unhideWhenUsed/>
    <w:qFormat/>
    <w:uiPriority w:val="99"/>
    <w:rPr>
      <w:rFonts w:hint="default" w:ascii="serif" w:hAnsi="serif" w:eastAsia="serif" w:cs="serif"/>
      <w:sz w:val="21"/>
      <w:szCs w:val="21"/>
    </w:rPr>
  </w:style>
  <w:style w:type="table" w:styleId="35">
    <w:name w:val="Table Grid"/>
    <w:basedOn w:val="34"/>
    <w:qFormat/>
    <w:uiPriority w:val="59"/>
    <w:rPr>
      <w:kern w:val="0"/>
      <w:sz w:val="20"/>
      <w:szCs w:val="20"/>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style>
  <w:style w:type="paragraph" w:customStyle="1" w:styleId="36">
    <w:name w:val="Default"/>
    <w:next w:val="37"/>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37">
    <w:name w:val="目录 71"/>
    <w:next w:val="1"/>
    <w:qFormat/>
    <w:uiPriority w:val="0"/>
    <w:pPr>
      <w:wordWrap w:val="0"/>
      <w:ind w:left="2550"/>
      <w:jc w:val="both"/>
    </w:pPr>
    <w:rPr>
      <w:rFonts w:ascii="Times New Roman" w:hAnsi="Times New Roman" w:eastAsia="宋体" w:cs="Times New Roman"/>
      <w:sz w:val="21"/>
      <w:szCs w:val="22"/>
      <w:lang w:val="en-US" w:eastAsia="zh-CN" w:bidi="ar-SA"/>
    </w:rPr>
  </w:style>
  <w:style w:type="paragraph" w:customStyle="1" w:styleId="38">
    <w:name w:val="首行缩进"/>
    <w:basedOn w:val="1"/>
    <w:qFormat/>
    <w:uiPriority w:val="0"/>
    <w:pPr>
      <w:spacing w:line="360" w:lineRule="auto"/>
      <w:ind w:firstLine="480" w:firstLineChars="200"/>
      <w:jc w:val="left"/>
    </w:pPr>
    <w:rPr>
      <w:rFonts w:ascii="宋体" w:hAnsi="宋体"/>
      <w:sz w:val="24"/>
    </w:rPr>
  </w:style>
  <w:style w:type="character" w:customStyle="1" w:styleId="39">
    <w:name w:val="页眉 Char"/>
    <w:basedOn w:val="22"/>
    <w:link w:val="16"/>
    <w:qFormat/>
    <w:uiPriority w:val="99"/>
    <w:rPr>
      <w:sz w:val="18"/>
      <w:szCs w:val="18"/>
    </w:rPr>
  </w:style>
  <w:style w:type="character" w:customStyle="1" w:styleId="40">
    <w:name w:val="页脚 Char"/>
    <w:basedOn w:val="22"/>
    <w:link w:val="15"/>
    <w:qFormat/>
    <w:uiPriority w:val="99"/>
    <w:rPr>
      <w:sz w:val="18"/>
      <w:szCs w:val="18"/>
    </w:rPr>
  </w:style>
  <w:style w:type="character" w:customStyle="1" w:styleId="41">
    <w:name w:val="日期 Char"/>
    <w:basedOn w:val="22"/>
    <w:link w:val="13"/>
    <w:qFormat/>
    <w:uiPriority w:val="99"/>
  </w:style>
  <w:style w:type="paragraph" w:styleId="42">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43">
    <w:name w:val="正文.表格"/>
    <w:basedOn w:val="1"/>
    <w:next w:val="1"/>
    <w:qFormat/>
    <w:uiPriority w:val="99"/>
    <w:pPr>
      <w:widowControl/>
      <w:jc w:val="center"/>
    </w:pPr>
    <w:rPr>
      <w:rFonts w:ascii="Calibri" w:hAnsi="Calibri" w:eastAsia="宋体" w:cs="黑体"/>
      <w:kern w:val="21"/>
      <w:szCs w:val="24"/>
    </w:rPr>
  </w:style>
  <w:style w:type="paragraph" w:customStyle="1" w:styleId="44">
    <w:name w:val="列出段落1"/>
    <w:basedOn w:val="1"/>
    <w:qFormat/>
    <w:uiPriority w:val="99"/>
    <w:pPr>
      <w:ind w:firstLine="420" w:firstLineChars="200"/>
    </w:pPr>
    <w:rPr>
      <w:rFonts w:ascii="Calibri" w:hAnsi="Calibri" w:eastAsia="宋体" w:cs="黑体"/>
    </w:rPr>
  </w:style>
  <w:style w:type="paragraph" w:customStyle="1" w:styleId="45">
    <w:name w:val="列出段落2"/>
    <w:basedOn w:val="1"/>
    <w:unhideWhenUsed/>
    <w:qFormat/>
    <w:uiPriority w:val="99"/>
    <w:pPr>
      <w:ind w:firstLine="420" w:firstLineChars="200"/>
    </w:pPr>
  </w:style>
  <w:style w:type="paragraph" w:customStyle="1" w:styleId="46">
    <w:name w:val="正文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47">
    <w:name w:val="批注框文本 Char"/>
    <w:basedOn w:val="22"/>
    <w:link w:val="14"/>
    <w:qFormat/>
    <w:uiPriority w:val="99"/>
    <w:rPr>
      <w:sz w:val="18"/>
      <w:szCs w:val="18"/>
    </w:rPr>
  </w:style>
  <w:style w:type="character" w:customStyle="1" w:styleId="48">
    <w:name w:val="标题 1 Char"/>
    <w:basedOn w:val="22"/>
    <w:link w:val="3"/>
    <w:qFormat/>
    <w:uiPriority w:val="9"/>
    <w:rPr>
      <w:rFonts w:ascii="Times New Roman" w:hAnsi="Times New Roman" w:eastAsia="宋体" w:cs="Times New Roman"/>
      <w:b/>
      <w:kern w:val="44"/>
      <w:sz w:val="32"/>
      <w:szCs w:val="20"/>
    </w:rPr>
  </w:style>
  <w:style w:type="paragraph" w:customStyle="1" w:styleId="49">
    <w:name w:val="正文首行缩进两字符"/>
    <w:basedOn w:val="1"/>
    <w:qFormat/>
    <w:uiPriority w:val="0"/>
    <w:pPr>
      <w:spacing w:line="360" w:lineRule="auto"/>
      <w:ind w:firstLine="200" w:firstLineChars="200"/>
    </w:pPr>
    <w:rPr>
      <w:rFonts w:ascii="Times New Roman" w:hAnsi="Times New Roman" w:eastAsia="宋体" w:cs="Times New Roman"/>
      <w:szCs w:val="24"/>
    </w:rPr>
  </w:style>
  <w:style w:type="paragraph" w:customStyle="1" w:styleId="50">
    <w:name w:val="font5"/>
    <w:basedOn w:val="1"/>
    <w:qFormat/>
    <w:uiPriority w:val="0"/>
    <w:pPr>
      <w:widowControl/>
      <w:spacing w:before="100" w:beforeAutospacing="1" w:after="100" w:afterAutospacing="1"/>
      <w:jc w:val="left"/>
    </w:pPr>
    <w:rPr>
      <w:rFonts w:ascii="Calibri" w:hAnsi="Calibri" w:eastAsia="宋体" w:cs="宋体"/>
      <w:color w:val="000000"/>
      <w:kern w:val="0"/>
      <w:sz w:val="18"/>
      <w:szCs w:val="18"/>
    </w:rPr>
  </w:style>
  <w:style w:type="paragraph" w:customStyle="1" w:styleId="51">
    <w:name w:val="font6"/>
    <w:basedOn w:val="1"/>
    <w:qFormat/>
    <w:uiPriority w:val="0"/>
    <w:pPr>
      <w:widowControl/>
      <w:spacing w:before="100" w:beforeAutospacing="1" w:after="100" w:afterAutospacing="1"/>
      <w:jc w:val="left"/>
    </w:pPr>
    <w:rPr>
      <w:rFonts w:ascii="宋体" w:hAnsi="宋体" w:eastAsia="宋体" w:cs="宋体"/>
      <w:color w:val="000000"/>
      <w:kern w:val="0"/>
      <w:sz w:val="18"/>
      <w:szCs w:val="18"/>
    </w:rPr>
  </w:style>
  <w:style w:type="paragraph" w:customStyle="1" w:styleId="52">
    <w:name w:val="xl63"/>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Cs w:val="21"/>
    </w:rPr>
  </w:style>
  <w:style w:type="paragraph" w:customStyle="1" w:styleId="53">
    <w:name w:val="xl64"/>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Cs w:val="21"/>
    </w:rPr>
  </w:style>
  <w:style w:type="paragraph" w:customStyle="1" w:styleId="54">
    <w:name w:val="xl65"/>
    <w:basedOn w:val="1"/>
    <w:qFormat/>
    <w:uiPriority w:val="0"/>
    <w:pPr>
      <w:widowControl/>
      <w:pBdr>
        <w:top w:val="single" w:color="auto" w:sz="8" w:space="0"/>
        <w:bottom w:val="single" w:color="auto" w:sz="8" w:space="0"/>
        <w:right w:val="single" w:color="auto" w:sz="8" w:space="0"/>
      </w:pBdr>
      <w:spacing w:before="100" w:beforeAutospacing="1" w:after="100" w:afterAutospacing="1"/>
      <w:jc w:val="left"/>
    </w:pPr>
    <w:rPr>
      <w:rFonts w:ascii="宋体" w:hAnsi="宋体" w:eastAsia="宋体" w:cs="宋体"/>
      <w:kern w:val="0"/>
      <w:szCs w:val="21"/>
    </w:rPr>
  </w:style>
  <w:style w:type="paragraph" w:customStyle="1" w:styleId="55">
    <w:name w:val="xl66"/>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56">
    <w:name w:val="xl67"/>
    <w:basedOn w:val="1"/>
    <w:qFormat/>
    <w:uiPriority w:val="0"/>
    <w:pPr>
      <w:widowControl/>
      <w:pBdr>
        <w:bottom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57">
    <w:name w:val="xl68"/>
    <w:basedOn w:val="1"/>
    <w:qFormat/>
    <w:uiPriority w:val="0"/>
    <w:pPr>
      <w:widowControl/>
      <w:pBdr>
        <w:bottom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58">
    <w:name w:val="xl69"/>
    <w:basedOn w:val="1"/>
    <w:qFormat/>
    <w:uiPriority w:val="0"/>
    <w:pPr>
      <w:widowControl/>
      <w:pBdr>
        <w:bottom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59">
    <w:name w:val="xl70"/>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60">
    <w:name w:val="xl71"/>
    <w:basedOn w:val="1"/>
    <w:qFormat/>
    <w:uiPriority w:val="0"/>
    <w:pPr>
      <w:widowControl/>
      <w:pBdr>
        <w:top w:val="single" w:color="auto" w:sz="8" w:space="0"/>
        <w:bottom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61">
    <w:name w:val="xl72"/>
    <w:basedOn w:val="1"/>
    <w:qFormat/>
    <w:uiPriority w:val="0"/>
    <w:pPr>
      <w:widowControl/>
      <w:pBdr>
        <w:left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62">
    <w:name w:val="xl73"/>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63">
    <w:name w:val="xl74"/>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4">
    <w:name w:val="xl75"/>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5">
    <w:name w:val="xl76"/>
    <w:basedOn w:val="1"/>
    <w:qFormat/>
    <w:uiPriority w:val="0"/>
    <w:pPr>
      <w:widowControl/>
      <w:pBdr>
        <w:top w:val="single" w:color="auto" w:sz="8" w:space="0"/>
        <w:left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6">
    <w:name w:val="xl77"/>
    <w:basedOn w:val="1"/>
    <w:qFormat/>
    <w:uiPriority w:val="0"/>
    <w:pPr>
      <w:widowControl/>
      <w:pBdr>
        <w:left w:val="single" w:color="auto" w:sz="8" w:space="0"/>
        <w:bottom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7">
    <w:name w:val="xl78"/>
    <w:basedOn w:val="1"/>
    <w:qFormat/>
    <w:uiPriority w:val="0"/>
    <w:pPr>
      <w:widowControl/>
      <w:pBdr>
        <w:left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8">
    <w:name w:val="xl79"/>
    <w:basedOn w:val="1"/>
    <w:qFormat/>
    <w:uiPriority w:val="0"/>
    <w:pPr>
      <w:widowControl/>
      <w:pBdr>
        <w:left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9">
    <w:name w:val="xl80"/>
    <w:basedOn w:val="1"/>
    <w:qFormat/>
    <w:uiPriority w:val="0"/>
    <w:pPr>
      <w:widowControl/>
      <w:pBdr>
        <w:top w:val="single" w:color="auto" w:sz="8" w:space="0"/>
        <w:left w:val="single" w:color="auto" w:sz="8" w:space="0"/>
        <w:bottom w:val="single" w:color="auto" w:sz="8" w:space="0"/>
      </w:pBdr>
      <w:spacing w:before="100" w:beforeAutospacing="1" w:after="100" w:afterAutospacing="1"/>
      <w:jc w:val="left"/>
    </w:pPr>
    <w:rPr>
      <w:rFonts w:ascii="宋体" w:hAnsi="宋体" w:eastAsia="宋体" w:cs="宋体"/>
      <w:b/>
      <w:bCs/>
      <w:kern w:val="0"/>
      <w:sz w:val="18"/>
      <w:szCs w:val="18"/>
    </w:rPr>
  </w:style>
  <w:style w:type="paragraph" w:customStyle="1" w:styleId="70">
    <w:name w:val="xl81"/>
    <w:basedOn w:val="1"/>
    <w:qFormat/>
    <w:uiPriority w:val="0"/>
    <w:pPr>
      <w:widowControl/>
      <w:pBdr>
        <w:top w:val="single" w:color="auto" w:sz="8" w:space="0"/>
        <w:bottom w:val="single" w:color="auto" w:sz="8" w:space="0"/>
      </w:pBdr>
      <w:spacing w:before="100" w:beforeAutospacing="1" w:after="100" w:afterAutospacing="1"/>
      <w:jc w:val="left"/>
    </w:pPr>
    <w:rPr>
      <w:rFonts w:ascii="宋体" w:hAnsi="宋体" w:eastAsia="宋体" w:cs="宋体"/>
      <w:b/>
      <w:bCs/>
      <w:kern w:val="0"/>
      <w:sz w:val="18"/>
      <w:szCs w:val="18"/>
    </w:rPr>
  </w:style>
  <w:style w:type="paragraph" w:customStyle="1" w:styleId="71">
    <w:name w:val="标题 1_0"/>
    <w:basedOn w:val="1"/>
    <w:next w:val="1"/>
    <w:link w:val="72"/>
    <w:qFormat/>
    <w:uiPriority w:val="9"/>
    <w:pPr>
      <w:keepNext/>
      <w:keepLines/>
      <w:spacing w:before="340" w:after="330" w:line="578" w:lineRule="auto"/>
      <w:outlineLvl w:val="0"/>
    </w:pPr>
    <w:rPr>
      <w:rFonts w:ascii="Calibri" w:hAnsi="Calibri" w:eastAsia="宋体" w:cs="Times New Roman"/>
      <w:b/>
      <w:bCs/>
      <w:kern w:val="44"/>
      <w:sz w:val="44"/>
      <w:szCs w:val="44"/>
    </w:rPr>
  </w:style>
  <w:style w:type="character" w:customStyle="1" w:styleId="72">
    <w:name w:val="标题 1 Char_0"/>
    <w:link w:val="71"/>
    <w:qFormat/>
    <w:uiPriority w:val="9"/>
    <w:rPr>
      <w:rFonts w:ascii="Calibri" w:hAnsi="Calibri" w:eastAsia="宋体" w:cs="Times New Roman"/>
      <w:b/>
      <w:bCs/>
      <w:kern w:val="44"/>
      <w:sz w:val="44"/>
      <w:szCs w:val="44"/>
    </w:rPr>
  </w:style>
  <w:style w:type="paragraph" w:styleId="73">
    <w:name w:val="List Paragraph"/>
    <w:basedOn w:val="1"/>
    <w:qFormat/>
    <w:uiPriority w:val="1"/>
    <w:pPr>
      <w:ind w:firstLine="420" w:firstLineChars="200"/>
    </w:pPr>
    <w:rPr>
      <w:rFonts w:ascii="Times New Roman" w:hAnsi="Times New Roman" w:eastAsia="宋体" w:cs="Times New Roman"/>
      <w:szCs w:val="20"/>
    </w:rPr>
  </w:style>
  <w:style w:type="character" w:customStyle="1" w:styleId="74">
    <w:name w:val="标题 2 Char"/>
    <w:basedOn w:val="22"/>
    <w:link w:val="4"/>
    <w:qFormat/>
    <w:uiPriority w:val="0"/>
    <w:rPr>
      <w:rFonts w:ascii="黑体" w:hAnsi="黑体" w:eastAsia="黑体" w:cs="Times New Roman"/>
      <w:sz w:val="32"/>
      <w:szCs w:val="24"/>
    </w:rPr>
  </w:style>
  <w:style w:type="character" w:customStyle="1" w:styleId="75">
    <w:name w:val="标题 3 Char"/>
    <w:basedOn w:val="22"/>
    <w:link w:val="5"/>
    <w:semiHidden/>
    <w:qFormat/>
    <w:uiPriority w:val="9"/>
    <w:rPr>
      <w:rFonts w:ascii="等线" w:hAnsi="等线" w:eastAsia="等线" w:cs="Times New Roman"/>
      <w:b/>
      <w:bCs/>
      <w:sz w:val="32"/>
      <w:szCs w:val="32"/>
    </w:rPr>
  </w:style>
  <w:style w:type="character" w:customStyle="1" w:styleId="76">
    <w:name w:val="标题 4 Char"/>
    <w:basedOn w:val="22"/>
    <w:link w:val="6"/>
    <w:semiHidden/>
    <w:qFormat/>
    <w:uiPriority w:val="9"/>
    <w:rPr>
      <w:rFonts w:ascii="等线 Light" w:hAnsi="等线 Light" w:eastAsia="等线 Light" w:cs="Times New Roman"/>
      <w:b/>
      <w:bCs/>
      <w:sz w:val="28"/>
      <w:szCs w:val="28"/>
    </w:rPr>
  </w:style>
  <w:style w:type="character" w:customStyle="1" w:styleId="77">
    <w:name w:val="批注文字 Char"/>
    <w:basedOn w:val="22"/>
    <w:link w:val="9"/>
    <w:qFormat/>
    <w:uiPriority w:val="99"/>
    <w:rPr>
      <w:rFonts w:ascii="Calibri" w:hAnsi="Calibri" w:eastAsia="宋体" w:cs="Calibri"/>
      <w:szCs w:val="21"/>
    </w:rPr>
  </w:style>
  <w:style w:type="character" w:customStyle="1" w:styleId="78">
    <w:name w:val="正文文本 Char"/>
    <w:basedOn w:val="22"/>
    <w:link w:val="2"/>
    <w:qFormat/>
    <w:uiPriority w:val="99"/>
    <w:rPr>
      <w:rFonts w:ascii="Times New Roman" w:hAnsi="Times New Roman" w:eastAsia="宋体" w:cs="Times New Roman"/>
      <w:sz w:val="28"/>
      <w:szCs w:val="20"/>
    </w:rPr>
  </w:style>
  <w:style w:type="character" w:customStyle="1" w:styleId="79">
    <w:name w:val="正文文本_"/>
    <w:basedOn w:val="22"/>
    <w:link w:val="80"/>
    <w:qFormat/>
    <w:uiPriority w:val="0"/>
    <w:rPr>
      <w:rFonts w:ascii="MingLiU" w:hAnsi="MingLiU" w:eastAsia="MingLiU" w:cs="MingLiU"/>
      <w:spacing w:val="-20"/>
      <w:sz w:val="26"/>
      <w:szCs w:val="26"/>
      <w:shd w:val="clear" w:color="auto" w:fill="FFFFFF"/>
    </w:rPr>
  </w:style>
  <w:style w:type="paragraph" w:customStyle="1" w:styleId="80">
    <w:name w:val="正文文本1"/>
    <w:basedOn w:val="1"/>
    <w:link w:val="79"/>
    <w:qFormat/>
    <w:uiPriority w:val="0"/>
    <w:pPr>
      <w:shd w:val="clear" w:color="auto" w:fill="FFFFFF"/>
      <w:spacing w:line="554" w:lineRule="exact"/>
      <w:ind w:hanging="1720"/>
      <w:jc w:val="left"/>
    </w:pPr>
    <w:rPr>
      <w:rFonts w:ascii="MingLiU" w:hAnsi="MingLiU" w:eastAsia="MingLiU" w:cs="MingLiU"/>
      <w:spacing w:val="-20"/>
      <w:sz w:val="26"/>
      <w:szCs w:val="26"/>
    </w:rPr>
  </w:style>
  <w:style w:type="character" w:customStyle="1" w:styleId="81">
    <w:name w:val="正文文本 + Segoe UI"/>
    <w:basedOn w:val="79"/>
    <w:qFormat/>
    <w:uiPriority w:val="0"/>
    <w:rPr>
      <w:rFonts w:ascii="Segoe UI" w:hAnsi="Segoe UI" w:eastAsia="Segoe UI" w:cs="Segoe UI"/>
      <w:b/>
      <w:bCs/>
      <w:color w:val="000000"/>
      <w:spacing w:val="-10"/>
      <w:w w:val="100"/>
      <w:position w:val="0"/>
      <w:lang w:val="zh-CN" w:eastAsia="zh-CN" w:bidi="zh-CN"/>
    </w:rPr>
  </w:style>
  <w:style w:type="character" w:customStyle="1" w:styleId="82">
    <w:name w:val="标题 #1_"/>
    <w:basedOn w:val="22"/>
    <w:link w:val="83"/>
    <w:qFormat/>
    <w:uiPriority w:val="0"/>
    <w:rPr>
      <w:rFonts w:ascii="MingLiU" w:hAnsi="MingLiU" w:eastAsia="MingLiU" w:cs="MingLiU"/>
      <w:spacing w:val="-30"/>
      <w:sz w:val="46"/>
      <w:szCs w:val="46"/>
      <w:shd w:val="clear" w:color="auto" w:fill="FFFFFF"/>
    </w:rPr>
  </w:style>
  <w:style w:type="paragraph" w:customStyle="1" w:styleId="83">
    <w:name w:val="标题 #1"/>
    <w:basedOn w:val="1"/>
    <w:link w:val="82"/>
    <w:qFormat/>
    <w:uiPriority w:val="0"/>
    <w:pPr>
      <w:shd w:val="clear" w:color="auto" w:fill="FFFFFF"/>
      <w:spacing w:before="480" w:line="559" w:lineRule="exact"/>
      <w:jc w:val="center"/>
      <w:outlineLvl w:val="0"/>
    </w:pPr>
    <w:rPr>
      <w:rFonts w:ascii="MingLiU" w:hAnsi="MingLiU" w:eastAsia="MingLiU" w:cs="MingLiU"/>
      <w:spacing w:val="-30"/>
      <w:sz w:val="46"/>
      <w:szCs w:val="46"/>
    </w:rPr>
  </w:style>
  <w:style w:type="paragraph" w:customStyle="1" w:styleId="84">
    <w:name w:val="样式1"/>
    <w:basedOn w:val="73"/>
    <w:qFormat/>
    <w:uiPriority w:val="0"/>
    <w:pPr>
      <w:ind w:firstLine="0" w:firstLineChars="0"/>
      <w:jc w:val="left"/>
    </w:pPr>
    <w:rPr>
      <w:rFonts w:ascii="黑体" w:hAnsi="黑体" w:eastAsia="黑体"/>
      <w:b/>
      <w:bCs/>
      <w:sz w:val="32"/>
      <w:szCs w:val="32"/>
    </w:rPr>
  </w:style>
  <w:style w:type="paragraph" w:customStyle="1" w:styleId="85">
    <w:name w:val="样式2"/>
    <w:basedOn w:val="1"/>
    <w:qFormat/>
    <w:uiPriority w:val="0"/>
    <w:pPr>
      <w:spacing w:line="360" w:lineRule="auto"/>
      <w:ind w:firstLine="200" w:firstLineChars="200"/>
      <w:jc w:val="left"/>
    </w:pPr>
    <w:rPr>
      <w:rFonts w:ascii="等线" w:hAnsi="等线" w:eastAsia="黑体" w:cs="Times New Roman"/>
      <w:b/>
      <w:bCs/>
      <w:sz w:val="30"/>
      <w:szCs w:val="32"/>
    </w:rPr>
  </w:style>
  <w:style w:type="paragraph" w:customStyle="1" w:styleId="86">
    <w:name w:val="样式3"/>
    <w:basedOn w:val="1"/>
    <w:next w:val="1"/>
    <w:qFormat/>
    <w:uiPriority w:val="0"/>
    <w:pPr>
      <w:spacing w:line="360" w:lineRule="auto"/>
      <w:ind w:firstLine="200" w:firstLineChars="200"/>
    </w:pPr>
    <w:rPr>
      <w:rFonts w:ascii="等线" w:hAnsi="等线" w:eastAsia="宋体" w:cs="Times New Roman"/>
      <w:b/>
      <w:bCs/>
      <w:sz w:val="32"/>
      <w:szCs w:val="32"/>
    </w:rPr>
  </w:style>
  <w:style w:type="paragraph" w:customStyle="1" w:styleId="87">
    <w:name w:val="样式4"/>
    <w:basedOn w:val="1"/>
    <w:next w:val="1"/>
    <w:qFormat/>
    <w:uiPriority w:val="0"/>
    <w:pPr>
      <w:ind w:firstLine="602"/>
      <w:outlineLvl w:val="2"/>
    </w:pPr>
    <w:rPr>
      <w:rFonts w:ascii="宋体" w:hAnsi="宋体" w:eastAsia="宋体" w:cs="Times New Roman"/>
      <w:bCs/>
      <w:sz w:val="30"/>
      <w:szCs w:val="30"/>
    </w:rPr>
  </w:style>
  <w:style w:type="paragraph" w:customStyle="1" w:styleId="88">
    <w:name w:val="图例"/>
    <w:basedOn w:val="1"/>
    <w:qFormat/>
    <w:uiPriority w:val="0"/>
    <w:pPr>
      <w:spacing w:before="120" w:after="120" w:line="360" w:lineRule="auto"/>
      <w:jc w:val="center"/>
    </w:pPr>
    <w:rPr>
      <w:rFonts w:ascii="Times New Roman" w:hAnsi="Times New Roman" w:eastAsia="仿宋_GB2312" w:cs="Times New Roman"/>
      <w:b/>
      <w:sz w:val="24"/>
      <w:szCs w:val="20"/>
    </w:rPr>
  </w:style>
  <w:style w:type="paragraph" w:customStyle="1" w:styleId="89">
    <w:name w:val="正文_2"/>
    <w:qFormat/>
    <w:uiPriority w:val="0"/>
    <w:pPr>
      <w:widowControl w:val="0"/>
      <w:jc w:val="both"/>
    </w:pPr>
    <w:rPr>
      <w:rFonts w:ascii="Calibri" w:hAnsi="Calibri" w:eastAsia="宋体" w:cs="Times New Roman"/>
      <w:kern w:val="2"/>
      <w:sz w:val="21"/>
      <w:szCs w:val="22"/>
      <w:lang w:val="en-US" w:eastAsia="zh-CN" w:bidi="ar-SA"/>
    </w:rPr>
  </w:style>
  <w:style w:type="character" w:customStyle="1" w:styleId="90">
    <w:name w:val="NormalCharacter"/>
    <w:qFormat/>
    <w:uiPriority w:val="0"/>
  </w:style>
  <w:style w:type="character" w:customStyle="1" w:styleId="91">
    <w:name w:val="批注主题 Char"/>
    <w:basedOn w:val="77"/>
    <w:link w:val="8"/>
    <w:qFormat/>
    <w:uiPriority w:val="99"/>
    <w:rPr>
      <w:b/>
      <w:bCs/>
    </w:rPr>
  </w:style>
  <w:style w:type="paragraph" w:customStyle="1" w:styleId="92">
    <w:name w:val="正文2"/>
    <w:basedOn w:val="11"/>
    <w:qFormat/>
    <w:uiPriority w:val="99"/>
    <w:pPr>
      <w:spacing w:after="0" w:line="480" w:lineRule="exact"/>
      <w:ind w:left="0" w:leftChars="0" w:firstLine="480" w:firstLineChars="200"/>
    </w:pPr>
    <w:rPr>
      <w:rFonts w:ascii="宋体" w:hAnsi="宋体" w:eastAsia="宋体" w:cs="Times New Roman"/>
      <w:bCs/>
      <w:kern w:val="0"/>
      <w:sz w:val="24"/>
      <w:szCs w:val="24"/>
      <w:lang w:val="zh-CN"/>
    </w:rPr>
  </w:style>
  <w:style w:type="character" w:customStyle="1" w:styleId="93">
    <w:name w:val="正文文本缩进 Char"/>
    <w:basedOn w:val="22"/>
    <w:link w:val="11"/>
    <w:qFormat/>
    <w:uiPriority w:val="0"/>
  </w:style>
  <w:style w:type="paragraph" w:customStyle="1" w:styleId="94">
    <w:name w:val="Table Paragraph"/>
    <w:basedOn w:val="1"/>
    <w:qFormat/>
    <w:uiPriority w:val="1"/>
    <w:pPr>
      <w:autoSpaceDE w:val="0"/>
      <w:autoSpaceDN w:val="0"/>
      <w:jc w:val="left"/>
    </w:pPr>
    <w:rPr>
      <w:rFonts w:ascii="宋体" w:hAnsi="宋体" w:cs="宋体"/>
      <w:kern w:val="0"/>
      <w:sz w:val="22"/>
      <w:szCs w:val="22"/>
      <w:lang w:val="zh-CN" w:bidi="zh-CN"/>
    </w:rPr>
  </w:style>
  <w:style w:type="table" w:customStyle="1" w:styleId="95">
    <w:name w:val="Table Normal"/>
    <w:semiHidden/>
    <w:unhideWhenUsed/>
    <w:qFormat/>
    <w:uiPriority w:val="2"/>
    <w:pPr>
      <w:widowControl w:val="0"/>
      <w:autoSpaceDE w:val="0"/>
      <w:autoSpaceDN w:val="0"/>
    </w:pPr>
    <w:rPr>
      <w:kern w:val="0"/>
      <w:sz w:val="22"/>
      <w:lang w:eastAsia="en-US"/>
    </w:rPr>
    <w:tblPr>
      <w:tblLayout w:type="fixed"/>
      <w:tblCellMar>
        <w:top w:w="0" w:type="dxa"/>
        <w:left w:w="0" w:type="dxa"/>
        <w:bottom w:w="0" w:type="dxa"/>
        <w:right w:w="0" w:type="dxa"/>
      </w:tblCellMar>
    </w:tblPr>
  </w:style>
  <w:style w:type="character" w:customStyle="1" w:styleId="96">
    <w:name w:val="font11"/>
    <w:basedOn w:val="22"/>
    <w:qFormat/>
    <w:uiPriority w:val="0"/>
    <w:rPr>
      <w:rFonts w:hint="eastAsia" w:ascii="宋体" w:hAnsi="宋体" w:eastAsia="宋体" w:cs="宋体"/>
      <w:color w:val="000000"/>
      <w:sz w:val="28"/>
      <w:szCs w:val="28"/>
      <w:u w:val="none"/>
    </w:rPr>
  </w:style>
  <w:style w:type="character" w:customStyle="1" w:styleId="97">
    <w:name w:val="font21"/>
    <w:basedOn w:val="22"/>
    <w:qFormat/>
    <w:uiPriority w:val="0"/>
    <w:rPr>
      <w:rFonts w:hint="eastAsia" w:ascii="宋体" w:hAnsi="宋体" w:eastAsia="宋体" w:cs="宋体"/>
      <w:color w:val="000000"/>
      <w:sz w:val="28"/>
      <w:szCs w:val="28"/>
      <w:u w:val="none"/>
      <w:vertAlign w:val="superscript"/>
    </w:rPr>
  </w:style>
  <w:style w:type="character" w:customStyle="1" w:styleId="98">
    <w:name w:val="font31"/>
    <w:basedOn w:val="22"/>
    <w:qFormat/>
    <w:uiPriority w:val="0"/>
    <w:rPr>
      <w:rFonts w:hint="eastAsia" w:ascii="宋体" w:hAnsi="宋体" w:eastAsia="宋体" w:cs="宋体"/>
      <w:color w:val="000000"/>
      <w:sz w:val="24"/>
      <w:szCs w:val="24"/>
      <w:u w:val="none"/>
      <w:vertAlign w:val="superscript"/>
    </w:rPr>
  </w:style>
  <w:style w:type="character" w:customStyle="1" w:styleId="99">
    <w:name w:val="font01"/>
    <w:basedOn w:val="22"/>
    <w:qFormat/>
    <w:uiPriority w:val="0"/>
    <w:rPr>
      <w:rFonts w:hint="eastAsia" w:ascii="宋体" w:hAnsi="宋体" w:eastAsia="宋体" w:cs="宋体"/>
      <w:color w:val="000000"/>
      <w:sz w:val="24"/>
      <w:szCs w:val="24"/>
      <w:u w:val="none"/>
      <w:vertAlign w:val="superscript"/>
    </w:rPr>
  </w:style>
  <w:style w:type="character" w:customStyle="1" w:styleId="100">
    <w:name w:val="font41"/>
    <w:basedOn w:val="22"/>
    <w:qFormat/>
    <w:uiPriority w:val="0"/>
    <w:rPr>
      <w:rFonts w:hint="eastAsia" w:ascii="宋体" w:hAnsi="宋体" w:eastAsia="宋体" w:cs="宋体"/>
      <w:color w:val="000000"/>
      <w:sz w:val="24"/>
      <w:szCs w:val="24"/>
      <w:u w:val="none"/>
      <w:vertAlign w:val="superscript"/>
    </w:rPr>
  </w:style>
  <w:style w:type="paragraph" w:customStyle="1" w:styleId="101">
    <w:name w:val="标书正文1"/>
    <w:basedOn w:val="1"/>
    <w:qFormat/>
    <w:uiPriority w:val="0"/>
    <w:pPr>
      <w:spacing w:line="520" w:lineRule="exact"/>
      <w:ind w:firstLine="640" w:firstLineChars="200"/>
    </w:pPr>
    <w:rPr>
      <w:rFonts w:ascii="Times New Roman" w:hAnsi="Times New Roman" w:eastAsia="宋体"/>
    </w:rPr>
  </w:style>
  <w:style w:type="character" w:customStyle="1" w:styleId="102">
    <w:name w:val="form-item-field"/>
    <w:basedOn w:val="22"/>
    <w:qFormat/>
    <w:uiPriority w:val="0"/>
    <w:rPr>
      <w:sz w:val="16"/>
      <w:szCs w:val="16"/>
    </w:rPr>
  </w:style>
  <w:style w:type="character" w:customStyle="1" w:styleId="103">
    <w:name w:val="sort-name-span"/>
    <w:basedOn w:val="22"/>
    <w:qFormat/>
    <w:uiPriority w:val="0"/>
  </w:style>
  <w:style w:type="character" w:customStyle="1" w:styleId="104">
    <w:name w:val="leaf"/>
    <w:basedOn w:val="22"/>
    <w:qFormat/>
    <w:uiPriority w:val="0"/>
  </w:style>
  <w:style w:type="character" w:customStyle="1" w:styleId="105">
    <w:name w:val="root"/>
    <w:basedOn w:val="22"/>
    <w:qFormat/>
    <w:uiPriority w:val="0"/>
  </w:style>
  <w:style w:type="character" w:customStyle="1" w:styleId="106">
    <w:name w:val="category-text"/>
    <w:basedOn w:val="22"/>
    <w:qFormat/>
    <w:uiPriority w:val="0"/>
    <w:rPr>
      <w:b/>
      <w:shd w:val="clear" w:fill="FFFFFF"/>
    </w:rPr>
  </w:style>
  <w:style w:type="character" w:customStyle="1" w:styleId="107">
    <w:name w:val="flow-name-span"/>
    <w:basedOn w:val="22"/>
    <w:qFormat/>
    <w:uiPriority w:val="0"/>
  </w:style>
  <w:style w:type="character" w:customStyle="1" w:styleId="108">
    <w:name w:val="form-textarea-print1"/>
    <w:basedOn w:val="22"/>
    <w:qFormat/>
    <w:uiPriority w:val="0"/>
    <w:rPr>
      <w:rFonts w:ascii="微软雅黑" w:hAnsi="微软雅黑" w:eastAsia="微软雅黑" w:cs="微软雅黑"/>
      <w:sz w:val="14"/>
      <w:szCs w:val="14"/>
    </w:rPr>
  </w:style>
  <w:style w:type="character" w:customStyle="1" w:styleId="109">
    <w:name w:val="font71"/>
    <w:basedOn w:val="22"/>
    <w:qFormat/>
    <w:uiPriority w:val="0"/>
    <w:rPr>
      <w:rFonts w:hint="eastAsia" w:ascii="仿宋" w:hAnsi="仿宋" w:eastAsia="仿宋" w:cs="仿宋"/>
      <w:b/>
      <w:bCs/>
      <w:color w:val="000000"/>
      <w:sz w:val="22"/>
      <w:szCs w:val="22"/>
      <w:u w:val="none"/>
    </w:rPr>
  </w:style>
  <w:style w:type="character" w:customStyle="1" w:styleId="110">
    <w:name w:val="font91"/>
    <w:basedOn w:val="22"/>
    <w:qFormat/>
    <w:uiPriority w:val="0"/>
    <w:rPr>
      <w:rFonts w:hint="eastAsia" w:ascii="仿宋" w:hAnsi="仿宋" w:eastAsia="仿宋" w:cs="仿宋"/>
      <w:color w:val="000000"/>
      <w:sz w:val="24"/>
      <w:szCs w:val="24"/>
      <w:u w:val="none"/>
    </w:rPr>
  </w:style>
  <w:style w:type="character" w:customStyle="1" w:styleId="111">
    <w:name w:val="font112"/>
    <w:basedOn w:val="22"/>
    <w:qFormat/>
    <w:uiPriority w:val="0"/>
    <w:rPr>
      <w:rFonts w:ascii="Arial" w:hAnsi="Arial" w:cs="Arial"/>
      <w:color w:val="000000"/>
      <w:sz w:val="24"/>
      <w:szCs w:val="24"/>
      <w:u w:val="none"/>
    </w:rPr>
  </w:style>
  <w:style w:type="character" w:customStyle="1" w:styleId="112">
    <w:name w:val="font81"/>
    <w:basedOn w:val="22"/>
    <w:qFormat/>
    <w:uiPriority w:val="0"/>
    <w:rPr>
      <w:rFonts w:hint="eastAsia" w:ascii="仿宋" w:hAnsi="仿宋" w:eastAsia="仿宋" w:cs="仿宋"/>
      <w:color w:val="000000"/>
      <w:sz w:val="24"/>
      <w:szCs w:val="24"/>
      <w:u w:val="none"/>
    </w:rPr>
  </w:style>
  <w:style w:type="character" w:customStyle="1" w:styleId="113">
    <w:name w:val="font121"/>
    <w:basedOn w:val="22"/>
    <w:qFormat/>
    <w:uiPriority w:val="0"/>
    <w:rPr>
      <w:rFonts w:hint="default" w:ascii="Arial" w:hAnsi="Arial" w:cs="Arial"/>
      <w:color w:val="000000"/>
      <w:sz w:val="24"/>
      <w:szCs w:val="24"/>
      <w:u w:val="none"/>
    </w:rPr>
  </w:style>
  <w:style w:type="character" w:customStyle="1" w:styleId="114">
    <w:name w:val="font101"/>
    <w:basedOn w:val="22"/>
    <w:qFormat/>
    <w:uiPriority w:val="0"/>
    <w:rPr>
      <w:rFonts w:hint="eastAsia" w:ascii="仿宋" w:hAnsi="仿宋" w:eastAsia="仿宋" w:cs="仿宋"/>
      <w:color w:val="000000"/>
      <w:sz w:val="24"/>
      <w:szCs w:val="24"/>
      <w:u w:val="none"/>
      <w:vertAlign w:val="superscript"/>
    </w:rPr>
  </w:style>
  <w:style w:type="paragraph" w:customStyle="1" w:styleId="115">
    <w:name w:val="c正文"/>
    <w:basedOn w:val="1"/>
    <w:qFormat/>
    <w:uiPriority w:val="99"/>
    <w:pPr>
      <w:spacing w:line="360" w:lineRule="auto"/>
      <w:ind w:firstLine="480" w:firstLineChars="200"/>
    </w:pPr>
    <w:rPr>
      <w:rFonts w:ascii="Times New Roman" w:hAnsi="Times New Roman" w:eastAsia="宋体" w:cs="Times New Roman"/>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1081</Words>
  <Characters>1157</Characters>
  <Lines>2</Lines>
  <Paragraphs>1</Paragraphs>
  <TotalTime>6</TotalTime>
  <ScaleCrop>false</ScaleCrop>
  <LinksUpToDate>false</LinksUpToDate>
  <CharactersWithSpaces>1270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2017-10-12T06:56:00Z</dcterms:created>
  <dc:creator>Ld</dc:creator>
  <cp:lastModifiedBy>Administrator</cp:lastModifiedBy>
  <cp:lastPrinted>2024-03-28T07:23:00Z</cp:lastPrinted>
  <dcterms:modified xsi:type="dcterms:W3CDTF">2026-09-28T02:09:42Z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2910610CDE4441788F7AC0AF86615839_13</vt:lpwstr>
  </property>
  <property fmtid="{D5CDD505-2E9C-101B-9397-08002B2CF9AE}" pid="4" name="KSOTemplateDocerSaveRecord">
    <vt:lpwstr>eyJoZGlkIjoiOTA3ZmZlOWI0ZTE5NThiN2Q3OWZlMjhiYTZjOTcxZDAifQ==</vt:lpwstr>
  </property>
</Properties>
</file>