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防火墙特征库升级及维保服务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bookmarkStart w:id="0" w:name="_GoBack"/>
      <w:bookmarkEnd w:id="0"/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防火墙特征库升级及维保服务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备注:报价为包干价，含税费、运输费、安装费、人工费等一切费用。</w:t>
      </w:r>
    </w:p>
    <w:p>
      <w:pPr>
        <w:rPr>
          <w:rFonts w:hint="eastAsia" w:eastAsia="宋体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　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p>
      <w:pPr>
        <w:spacing w:line="560" w:lineRule="exact"/>
        <w:jc w:val="center"/>
        <w:rPr>
          <w:rFonts w:ascii="方正小标宋简体" w:hAnsi="等线" w:eastAsia="方正小标宋简体" w:cs="Times New Roman"/>
          <w:sz w:val="44"/>
        </w:rPr>
      </w:pPr>
      <w:r>
        <w:rPr>
          <w:rFonts w:hint="eastAsia" w:ascii="方正小标宋简体" w:hAnsi="等线" w:eastAsia="方正小标宋简体" w:cs="Times New Roman"/>
          <w:sz w:val="44"/>
        </w:rPr>
        <w:t>防火墙特征库升级及维保服务</w:t>
      </w:r>
    </w:p>
    <w:p>
      <w:pPr>
        <w:spacing w:line="560" w:lineRule="exact"/>
        <w:ind w:firstLine="640" w:firstLineChars="200"/>
        <w:jc w:val="left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  <w:lang w:val="en-US" w:eastAsia="zh-CN"/>
        </w:rPr>
        <w:t>我校</w:t>
      </w:r>
      <w:r>
        <w:rPr>
          <w:rFonts w:hint="eastAsia" w:ascii="等线" w:hAnsi="等线" w:eastAsia="仿宋" w:cs="Times New Roman"/>
          <w:sz w:val="32"/>
        </w:rPr>
        <w:t>防火墙已采购使用多年，作为关键的网络出口设备，负责与互联网连接的访问控制、入侵防御以及网络防病毒等安全功能。设备现处于非维保状态，一旦设备出现问题将影响学校整体的网络运行。同时，</w:t>
      </w:r>
      <w:r>
        <w:rPr>
          <w:rFonts w:hint="eastAsia" w:ascii="等线" w:hAnsi="等线" w:eastAsia="仿宋" w:cs="Times New Roman"/>
          <w:sz w:val="32"/>
          <w:lang w:val="en-US" w:eastAsia="zh-CN"/>
        </w:rPr>
        <w:t>各类规则库</w:t>
      </w:r>
      <w:r>
        <w:rPr>
          <w:rFonts w:hint="eastAsia" w:ascii="等线" w:hAnsi="等线" w:eastAsia="仿宋" w:cs="Times New Roman"/>
          <w:sz w:val="32"/>
        </w:rPr>
        <w:t>处于长时间未更新中，无法防御现阶段出现的新型安全攻击行为。</w:t>
      </w:r>
    </w:p>
    <w:p>
      <w:pPr>
        <w:spacing w:line="560" w:lineRule="exact"/>
        <w:ind w:firstLine="640" w:firstLineChars="200"/>
        <w:jc w:val="left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为保证整体网络</w:t>
      </w:r>
      <w:r>
        <w:rPr>
          <w:rFonts w:hint="eastAsia" w:ascii="等线" w:hAnsi="等线" w:eastAsia="仿宋" w:cs="Times New Roman"/>
          <w:sz w:val="32"/>
          <w:lang w:val="en-US" w:eastAsia="zh-CN"/>
        </w:rPr>
        <w:t>边界</w:t>
      </w:r>
      <w:r>
        <w:rPr>
          <w:rFonts w:hint="eastAsia" w:ascii="等线" w:hAnsi="等线" w:eastAsia="仿宋" w:cs="Times New Roman"/>
          <w:sz w:val="32"/>
        </w:rPr>
        <w:t>的安全性，本次将统一采购出口防火墙1年原厂维保服务、1年入侵检测规则库、1年病毒库、1年U</w:t>
      </w:r>
      <w:r>
        <w:rPr>
          <w:rFonts w:ascii="等线" w:hAnsi="等线" w:eastAsia="仿宋" w:cs="Times New Roman"/>
          <w:sz w:val="32"/>
        </w:rPr>
        <w:t>RL</w:t>
      </w:r>
      <w:r>
        <w:rPr>
          <w:rFonts w:hint="eastAsia" w:ascii="等线" w:hAnsi="等线" w:eastAsia="仿宋" w:cs="Times New Roman"/>
          <w:sz w:val="32"/>
        </w:rPr>
        <w:t>过滤规则库、1年应用识别规则库升级服务。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一、服务清单：</w:t>
      </w:r>
    </w:p>
    <w:tbl>
      <w:tblPr>
        <w:tblStyle w:val="3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3686"/>
        <w:gridCol w:w="70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产品型号</w:t>
            </w:r>
          </w:p>
        </w:tc>
        <w:tc>
          <w:tcPr>
            <w:tcW w:w="3686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规格说明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数量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Merge w:val="restart"/>
            <w:vAlign w:val="center"/>
          </w:tcPr>
          <w:p>
            <w:pPr>
              <w:spacing w:line="560" w:lineRule="exact"/>
              <w:jc w:val="left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天融信防火墙系统</w:t>
            </w:r>
            <w:r>
              <w:rPr>
                <w:rFonts w:ascii="等线" w:hAnsi="等线" w:eastAsia="仿宋" w:cs="Times New Roman"/>
                <w:sz w:val="32"/>
              </w:rPr>
              <w:t>V3</w:t>
            </w:r>
          </w:p>
          <w:p>
            <w:pPr>
              <w:spacing w:line="560" w:lineRule="exact"/>
              <w:jc w:val="left"/>
              <w:rPr>
                <w:rFonts w:ascii="等线" w:hAnsi="等线" w:eastAsia="仿宋" w:cs="Times New Roman"/>
                <w:sz w:val="32"/>
              </w:rPr>
            </w:pPr>
            <w:r>
              <w:rPr>
                <w:rFonts w:ascii="等线" w:hAnsi="等线" w:eastAsia="仿宋" w:cs="Times New Roman"/>
                <w:sz w:val="32"/>
              </w:rPr>
              <w:t>NG-51128</w:t>
            </w:r>
          </w:p>
          <w:p>
            <w:pPr>
              <w:spacing w:line="560" w:lineRule="exact"/>
              <w:jc w:val="left"/>
              <w:rPr>
                <w:rFonts w:ascii="等线" w:hAnsi="等线" w:eastAsia="仿宋" w:cs="Times New Roman"/>
                <w:sz w:val="32"/>
              </w:rPr>
            </w:pPr>
            <w:r>
              <w:rPr>
                <w:rFonts w:ascii="等线" w:hAnsi="等线" w:eastAsia="仿宋" w:cs="Times New Roman"/>
                <w:sz w:val="32"/>
              </w:rPr>
              <w:t>序列号:Q1909157802</w:t>
            </w:r>
          </w:p>
        </w:tc>
        <w:tc>
          <w:tcPr>
            <w:tcW w:w="3686" w:type="dxa"/>
            <w:vAlign w:val="center"/>
          </w:tcPr>
          <w:p>
            <w:pPr>
              <w:spacing w:line="560" w:lineRule="exact"/>
              <w:jc w:val="both"/>
              <w:rPr>
                <w:rFonts w:hint="eastAsia" w:ascii="等线" w:hAnsi="等线" w:eastAsia="仿宋" w:cs="Times New Roman"/>
                <w:sz w:val="32"/>
                <w:lang w:eastAsia="zh-CN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防火墙设备</w:t>
            </w:r>
            <w:r>
              <w:rPr>
                <w:rFonts w:ascii="等线" w:hAnsi="等线" w:eastAsia="仿宋" w:cs="Times New Roman"/>
                <w:sz w:val="32"/>
              </w:rPr>
              <w:t>1年原厂维保服务</w:t>
            </w:r>
            <w:r>
              <w:rPr>
                <w:rFonts w:hint="eastAsia" w:ascii="等线" w:hAnsi="等线" w:eastAsia="仿宋" w:cs="Times New Roman"/>
                <w:sz w:val="32"/>
                <w:lang w:eastAsia="zh-CN"/>
              </w:rPr>
              <w:t>；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="等线" w:hAnsi="等线" w:eastAsia="仿宋" w:cs="Times New Roman"/>
                <w:sz w:val="3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60" w:lineRule="exact"/>
              <w:jc w:val="both"/>
              <w:rPr>
                <w:rFonts w:hint="eastAsia" w:ascii="等线" w:hAnsi="等线" w:eastAsia="仿宋" w:cs="Times New Roman"/>
                <w:sz w:val="32"/>
                <w:lang w:eastAsia="zh-CN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防火墙设备入侵检测规则</w:t>
            </w:r>
            <w:r>
              <w:rPr>
                <w:rFonts w:ascii="等线" w:hAnsi="等线" w:eastAsia="仿宋" w:cs="Times New Roman"/>
                <w:sz w:val="32"/>
              </w:rPr>
              <w:t>库1年升级</w:t>
            </w:r>
            <w:r>
              <w:rPr>
                <w:rFonts w:hint="eastAsia" w:ascii="等线" w:hAnsi="等线" w:eastAsia="仿宋" w:cs="Times New Roman"/>
                <w:sz w:val="32"/>
              </w:rPr>
              <w:t>服务</w:t>
            </w:r>
            <w:r>
              <w:rPr>
                <w:rFonts w:hint="eastAsia" w:ascii="等线" w:hAnsi="等线" w:eastAsia="仿宋" w:cs="Times New Roman"/>
                <w:sz w:val="32"/>
                <w:lang w:eastAsia="zh-CN"/>
              </w:rPr>
              <w:t>；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="等线" w:hAnsi="等线" w:eastAsia="仿宋" w:cs="Times New Roman"/>
                <w:sz w:val="3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60" w:lineRule="exact"/>
              <w:jc w:val="both"/>
              <w:rPr>
                <w:rFonts w:hint="eastAsia" w:ascii="等线" w:hAnsi="等线" w:eastAsia="仿宋" w:cs="Times New Roman"/>
                <w:sz w:val="32"/>
                <w:lang w:eastAsia="zh-CN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防火墙设备</w:t>
            </w:r>
            <w:r>
              <w:rPr>
                <w:rFonts w:ascii="等线" w:hAnsi="等线" w:eastAsia="仿宋" w:cs="Times New Roman"/>
                <w:sz w:val="32"/>
              </w:rPr>
              <w:t>病毒库1年升级服务</w:t>
            </w:r>
            <w:r>
              <w:rPr>
                <w:rFonts w:hint="eastAsia" w:ascii="等线" w:hAnsi="等线" w:eastAsia="仿宋" w:cs="Times New Roman"/>
                <w:sz w:val="32"/>
                <w:lang w:eastAsia="zh-CN"/>
              </w:rPr>
              <w:t>；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="等线" w:hAnsi="等线" w:eastAsia="仿宋" w:cs="Times New Roman"/>
                <w:sz w:val="3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60" w:lineRule="exact"/>
              <w:jc w:val="both"/>
              <w:rPr>
                <w:rFonts w:hint="eastAsia" w:ascii="等线" w:hAnsi="等线" w:eastAsia="仿宋" w:cs="Times New Roman"/>
                <w:sz w:val="32"/>
                <w:lang w:eastAsia="zh-CN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防火墙设备</w:t>
            </w:r>
            <w:r>
              <w:rPr>
                <w:rFonts w:ascii="等线" w:hAnsi="等线" w:eastAsia="仿宋" w:cs="Times New Roman"/>
                <w:sz w:val="32"/>
              </w:rPr>
              <w:t>URL</w:t>
            </w:r>
            <w:r>
              <w:rPr>
                <w:rFonts w:hint="eastAsia" w:ascii="等线" w:hAnsi="等线" w:eastAsia="仿宋" w:cs="Times New Roman"/>
                <w:sz w:val="32"/>
              </w:rPr>
              <w:t>过滤</w:t>
            </w:r>
            <w:r>
              <w:rPr>
                <w:rFonts w:ascii="等线" w:hAnsi="等线" w:eastAsia="仿宋" w:cs="Times New Roman"/>
                <w:sz w:val="32"/>
              </w:rPr>
              <w:t>规则库1年升级服务</w:t>
            </w:r>
            <w:r>
              <w:rPr>
                <w:rFonts w:hint="eastAsia" w:ascii="等线" w:hAnsi="等线" w:eastAsia="仿宋" w:cs="Times New Roman"/>
                <w:sz w:val="32"/>
                <w:lang w:eastAsia="zh-CN"/>
              </w:rPr>
              <w:t>；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="等线" w:hAnsi="等线" w:eastAsia="仿宋" w:cs="Times New Roman"/>
                <w:sz w:val="3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60" w:lineRule="exact"/>
              <w:jc w:val="both"/>
              <w:rPr>
                <w:rFonts w:hint="eastAsia" w:ascii="等线" w:hAnsi="等线" w:eastAsia="仿宋" w:cs="Times New Roman"/>
                <w:sz w:val="32"/>
                <w:lang w:eastAsia="zh-CN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防火墙设备应用识别规则库</w:t>
            </w:r>
            <w:r>
              <w:rPr>
                <w:rFonts w:ascii="等线" w:hAnsi="等线" w:eastAsia="仿宋" w:cs="Times New Roman"/>
                <w:sz w:val="32"/>
              </w:rPr>
              <w:t>1年升级服务</w:t>
            </w:r>
            <w:r>
              <w:rPr>
                <w:rFonts w:hint="eastAsia" w:ascii="等线" w:hAnsi="等线" w:eastAsia="仿宋" w:cs="Times New Roman"/>
                <w:sz w:val="32"/>
                <w:lang w:eastAsia="zh-CN"/>
              </w:rPr>
              <w:t>；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年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二、服务内容：</w:t>
      </w:r>
    </w:p>
    <w:p>
      <w:pPr>
        <w:spacing w:line="560" w:lineRule="exact"/>
        <w:ind w:firstLine="640" w:firstLineChars="200"/>
        <w:jc w:val="left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1</w:t>
      </w:r>
      <w:r>
        <w:rPr>
          <w:rFonts w:ascii="等线" w:hAnsi="等线" w:eastAsia="仿宋" w:cs="Times New Roman"/>
          <w:sz w:val="32"/>
        </w:rPr>
        <w:t>.</w:t>
      </w:r>
      <w:r>
        <w:rPr>
          <w:rFonts w:hint="eastAsia" w:ascii="等线" w:hAnsi="等线" w:eastAsia="仿宋" w:cs="Times New Roman"/>
          <w:sz w:val="32"/>
        </w:rPr>
        <w:t>提供防火墙原厂商1年原厂维保服务，维保服务内容包括：（提供原厂售后服务承诺函以及项目授权函并加盖原厂公章）</w:t>
      </w:r>
    </w:p>
    <w:p>
      <w:pPr>
        <w:spacing w:line="560" w:lineRule="exact"/>
        <w:ind w:firstLine="640" w:firstLineChars="200"/>
        <w:jc w:val="left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质保时间：提供</w:t>
      </w:r>
      <w:r>
        <w:rPr>
          <w:rFonts w:ascii="等线" w:hAnsi="等线" w:eastAsia="仿宋" w:cs="Times New Roman"/>
          <w:sz w:val="32"/>
        </w:rPr>
        <w:t>1</w:t>
      </w:r>
      <w:r>
        <w:rPr>
          <w:rFonts w:hint="eastAsia" w:ascii="等线" w:hAnsi="等线" w:eastAsia="仿宋" w:cs="Times New Roman"/>
          <w:sz w:val="32"/>
        </w:rPr>
        <w:t>年原厂工程师免费上门服务；</w:t>
      </w:r>
    </w:p>
    <w:p>
      <w:pPr>
        <w:spacing w:line="560" w:lineRule="exact"/>
        <w:ind w:firstLine="640" w:firstLineChars="200"/>
        <w:jc w:val="left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服务响应时间：提供1年7×24小时服务，接到通知后</w:t>
      </w:r>
      <w:r>
        <w:rPr>
          <w:rFonts w:ascii="等线" w:hAnsi="等线" w:eastAsia="仿宋" w:cs="Times New Roman"/>
          <w:sz w:val="32"/>
        </w:rPr>
        <w:t>1</w:t>
      </w:r>
      <w:r>
        <w:rPr>
          <w:rFonts w:hint="eastAsia" w:ascii="等线" w:hAnsi="等线" w:eastAsia="仿宋" w:cs="Times New Roman"/>
          <w:sz w:val="32"/>
        </w:rPr>
        <w:t>小时内做出明确响应和安排，质保期内出现质量问题，</w:t>
      </w:r>
      <w:r>
        <w:rPr>
          <w:rFonts w:ascii="等线" w:hAnsi="等线" w:eastAsia="仿宋" w:cs="Times New Roman"/>
          <w:sz w:val="32"/>
        </w:rPr>
        <w:t>6</w:t>
      </w:r>
      <w:r>
        <w:rPr>
          <w:rFonts w:hint="eastAsia" w:ascii="等线" w:hAnsi="等线" w:eastAsia="仿宋" w:cs="Times New Roman"/>
          <w:sz w:val="32"/>
        </w:rPr>
        <w:t>小时内到达客户现场；</w:t>
      </w:r>
    </w:p>
    <w:p>
      <w:pPr>
        <w:spacing w:line="560" w:lineRule="exact"/>
        <w:ind w:firstLine="640" w:firstLineChars="200"/>
        <w:jc w:val="left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 xml:space="preserve">服务团队：四川省内配备5名网络安全方面专业技术服务人员； </w:t>
      </w:r>
    </w:p>
    <w:p>
      <w:pPr>
        <w:spacing w:line="560" w:lineRule="exact"/>
        <w:ind w:firstLine="640" w:firstLineChars="200"/>
        <w:jc w:val="left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提供2名原厂培训，提供完整的培训文档及操作手册。受训人员能够独立承担和完成相应的系统维护和管理工作；</w:t>
      </w:r>
    </w:p>
    <w:p>
      <w:pPr>
        <w:spacing w:line="560" w:lineRule="exact"/>
        <w:ind w:firstLine="640" w:firstLineChars="200"/>
        <w:jc w:val="left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提供原厂每年一次安全设备巡检服务；</w:t>
      </w:r>
    </w:p>
    <w:p>
      <w:pPr>
        <w:spacing w:line="560" w:lineRule="exact"/>
        <w:ind w:firstLine="640" w:firstLineChars="200"/>
        <w:jc w:val="left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提供备品备件服务，若使用设备发生故障，原厂备件须</w:t>
      </w:r>
      <w:r>
        <w:rPr>
          <w:rFonts w:ascii="等线" w:hAnsi="等线" w:eastAsia="仿宋" w:cs="Times New Roman"/>
          <w:sz w:val="32"/>
        </w:rPr>
        <w:t>6</w:t>
      </w:r>
      <w:r>
        <w:rPr>
          <w:rFonts w:hint="eastAsia" w:ascii="等线" w:hAnsi="等线" w:eastAsia="仿宋" w:cs="Times New Roman"/>
          <w:sz w:val="32"/>
        </w:rPr>
        <w:t>小时内到现场；</w:t>
      </w:r>
    </w:p>
    <w:p>
      <w:pPr>
        <w:spacing w:line="560" w:lineRule="exact"/>
        <w:ind w:firstLine="640" w:firstLineChars="200"/>
        <w:jc w:val="left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提供原厂7x24小时400电话技术支持服务，提供现场安装和调试服务。</w:t>
      </w:r>
    </w:p>
    <w:p>
      <w:pPr>
        <w:spacing w:line="560" w:lineRule="exact"/>
        <w:ind w:firstLine="640" w:firstLineChars="200"/>
        <w:jc w:val="left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提供软件版本升级服务；</w:t>
      </w:r>
    </w:p>
    <w:p>
      <w:pPr>
        <w:spacing w:line="560" w:lineRule="exact"/>
        <w:ind w:firstLine="640" w:firstLineChars="200"/>
        <w:jc w:val="left"/>
        <w:rPr>
          <w:rFonts w:ascii="等线" w:hAnsi="等线" w:eastAsia="仿宋" w:cs="Times New Roman"/>
          <w:sz w:val="32"/>
        </w:rPr>
      </w:pPr>
      <w:r>
        <w:rPr>
          <w:rFonts w:ascii="等线" w:hAnsi="等线" w:eastAsia="仿宋" w:cs="Times New Roman"/>
          <w:sz w:val="32"/>
        </w:rPr>
        <w:t>2.</w:t>
      </w:r>
      <w:r>
        <w:rPr>
          <w:rFonts w:hint="eastAsia" w:ascii="等线" w:hAnsi="等线" w:eastAsia="仿宋" w:cs="Times New Roman"/>
          <w:sz w:val="32"/>
        </w:rPr>
        <w:t>提供防火墙系统入侵检测</w:t>
      </w:r>
      <w:r>
        <w:rPr>
          <w:rFonts w:ascii="等线" w:hAnsi="等线" w:eastAsia="仿宋" w:cs="Times New Roman"/>
          <w:sz w:val="32"/>
        </w:rPr>
        <w:t>库1年升级</w:t>
      </w:r>
      <w:r>
        <w:rPr>
          <w:rFonts w:hint="eastAsia" w:ascii="等线" w:hAnsi="等线" w:eastAsia="仿宋" w:cs="Times New Roman"/>
          <w:sz w:val="32"/>
        </w:rPr>
        <w:t>服务，需定期对规则库进行升级，达职院可选择在线升级或离线升级方式进行安全升级，防火墙原厂商须提供在线指导服务。</w:t>
      </w:r>
    </w:p>
    <w:p>
      <w:pPr>
        <w:spacing w:line="560" w:lineRule="exact"/>
        <w:ind w:firstLine="640" w:firstLineChars="200"/>
        <w:jc w:val="left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3</w:t>
      </w:r>
      <w:r>
        <w:rPr>
          <w:rFonts w:ascii="等线" w:hAnsi="等线" w:eastAsia="仿宋" w:cs="Times New Roman"/>
          <w:sz w:val="32"/>
        </w:rPr>
        <w:t>.</w:t>
      </w:r>
      <w:r>
        <w:rPr>
          <w:rFonts w:hint="eastAsia" w:ascii="等线" w:hAnsi="等线" w:eastAsia="仿宋" w:cs="Times New Roman"/>
          <w:sz w:val="32"/>
        </w:rPr>
        <w:t>提供防火墙系统</w:t>
      </w:r>
      <w:r>
        <w:rPr>
          <w:rFonts w:ascii="等线" w:hAnsi="等线" w:eastAsia="仿宋" w:cs="Times New Roman"/>
          <w:sz w:val="32"/>
        </w:rPr>
        <w:t>1年病毒库升级服务</w:t>
      </w:r>
      <w:r>
        <w:rPr>
          <w:rFonts w:hint="eastAsia" w:ascii="等线" w:hAnsi="等线" w:eastAsia="仿宋" w:cs="Times New Roman"/>
          <w:sz w:val="32"/>
        </w:rPr>
        <w:t>，需定期对规则库进行升级，可选择在线升级或离线升级方式进行安全升级，防火墙原厂商须提供在线指导服务。</w:t>
      </w:r>
    </w:p>
    <w:p>
      <w:pPr>
        <w:spacing w:line="560" w:lineRule="exact"/>
        <w:ind w:firstLine="640" w:firstLineChars="200"/>
        <w:jc w:val="left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4</w:t>
      </w:r>
      <w:r>
        <w:rPr>
          <w:rFonts w:ascii="等线" w:hAnsi="等线" w:eastAsia="仿宋" w:cs="Times New Roman"/>
          <w:sz w:val="32"/>
        </w:rPr>
        <w:t>.</w:t>
      </w:r>
      <w:r>
        <w:rPr>
          <w:rFonts w:hint="eastAsia" w:ascii="等线" w:hAnsi="等线" w:eastAsia="仿宋" w:cs="Times New Roman"/>
          <w:sz w:val="32"/>
        </w:rPr>
        <w:t>防火墙系统</w:t>
      </w:r>
      <w:r>
        <w:rPr>
          <w:rFonts w:ascii="等线" w:hAnsi="等线" w:eastAsia="仿宋" w:cs="Times New Roman"/>
          <w:sz w:val="32"/>
        </w:rPr>
        <w:t>URL</w:t>
      </w:r>
      <w:r>
        <w:rPr>
          <w:rFonts w:hint="eastAsia" w:ascii="等线" w:hAnsi="等线" w:eastAsia="仿宋" w:cs="Times New Roman"/>
          <w:sz w:val="32"/>
        </w:rPr>
        <w:t>过滤</w:t>
      </w:r>
      <w:r>
        <w:rPr>
          <w:rFonts w:ascii="等线" w:hAnsi="等线" w:eastAsia="仿宋" w:cs="Times New Roman"/>
          <w:sz w:val="32"/>
        </w:rPr>
        <w:t>规则库1年升级服务</w:t>
      </w:r>
      <w:r>
        <w:rPr>
          <w:rFonts w:hint="eastAsia" w:ascii="等线" w:hAnsi="等线" w:eastAsia="仿宋" w:cs="Times New Roman"/>
          <w:sz w:val="32"/>
        </w:rPr>
        <w:t>，需定期对规则库进行升级，可选择在线升级或离线升级方式进行安全升级，防火墙原厂商须提供在线指导服务。</w:t>
      </w:r>
    </w:p>
    <w:p>
      <w:pPr>
        <w:spacing w:line="560" w:lineRule="exact"/>
        <w:ind w:firstLine="640" w:firstLineChars="200"/>
        <w:jc w:val="left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5</w:t>
      </w:r>
      <w:r>
        <w:rPr>
          <w:rFonts w:ascii="等线" w:hAnsi="等线" w:eastAsia="仿宋" w:cs="Times New Roman"/>
          <w:sz w:val="32"/>
        </w:rPr>
        <w:t>.</w:t>
      </w:r>
      <w:r>
        <w:rPr>
          <w:rFonts w:hint="eastAsia" w:ascii="等线" w:hAnsi="等线" w:eastAsia="仿宋" w:cs="Times New Roman"/>
          <w:sz w:val="32"/>
        </w:rPr>
        <w:t>防火墙系统应用识别规则库</w:t>
      </w:r>
      <w:r>
        <w:rPr>
          <w:rFonts w:ascii="等线" w:hAnsi="等线" w:eastAsia="仿宋" w:cs="Times New Roman"/>
          <w:sz w:val="32"/>
        </w:rPr>
        <w:t>1年升级服务</w:t>
      </w:r>
      <w:r>
        <w:rPr>
          <w:rFonts w:hint="eastAsia" w:ascii="等线" w:hAnsi="等线" w:eastAsia="仿宋" w:cs="Times New Roman"/>
          <w:sz w:val="32"/>
        </w:rPr>
        <w:t>，需定期对规则库进行升级，可选择在线升级或离线升级方式进行安全升级，防火墙原厂商须提供在线指导服务。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3A7F01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642323C"/>
    <w:rsid w:val="16AA08B1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326FD0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864C60"/>
    <w:rsid w:val="38AC5308"/>
    <w:rsid w:val="390C744C"/>
    <w:rsid w:val="39FA3AED"/>
    <w:rsid w:val="3A34346A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1B34DED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A59019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AF231C8"/>
    <w:rsid w:val="5B3E5ED4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AE2F6C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6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2026-06-02T01:01:33Z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