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药学专业参加院校技能大赛（国赛）设备</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18</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药学专业参加院校技能大赛（国赛）设备</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rPr>
          <w:rFonts w:hint="eastAsia" w:eastAsia="宋体"/>
          <w:lang w:val="en-US" w:eastAsia="zh-CN"/>
        </w:rPr>
      </w:pPr>
      <w:r>
        <w:rPr>
          <w:rFonts w:hint="eastAsia" w:ascii="宋体" w:hAnsi="宋体" w:eastAsia="宋体" w:cs="宋体"/>
          <w:b/>
          <w:bCs/>
          <w:sz w:val="18"/>
          <w:szCs w:val="18"/>
          <w:lang w:val="en-US" w:eastAsia="zh-CN"/>
        </w:rPr>
        <w:t>　      3、供应商的报价商品有品牌、型号的，需在品牌一栏填写其报价商品品牌及型号。</w:t>
      </w: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jc w:val="left"/>
        <w:rPr>
          <w:rFonts w:hint="default" w:ascii="Calibri" w:hAnsi="Calibri" w:eastAsia="宋体" w:cs="Times New Roman"/>
          <w:b/>
          <w:bCs/>
          <w:sz w:val="28"/>
          <w:szCs w:val="36"/>
          <w:lang w:val="en-US"/>
        </w:rPr>
      </w:pPr>
      <w:r>
        <w:rPr>
          <w:rFonts w:hint="eastAsia" w:ascii="仿宋" w:hAnsi="仿宋" w:eastAsia="仿宋" w:cs="Times New Roman"/>
          <w:sz w:val="36"/>
          <w:szCs w:val="36"/>
          <w:lang w:val="en-US" w:eastAsia="zh-CN"/>
        </w:rPr>
        <w:t>　　</w:t>
      </w:r>
      <w:r>
        <w:rPr>
          <w:rFonts w:hint="eastAsia" w:ascii="仿宋" w:hAnsi="仿宋" w:eastAsia="仿宋" w:cs="Times New Roman"/>
          <w:b/>
          <w:bCs/>
          <w:sz w:val="36"/>
          <w:szCs w:val="36"/>
          <w:lang w:val="en-US" w:eastAsia="zh-CN"/>
        </w:rPr>
        <w:t>药学专业参加院校技能大赛（国赛）设备采购明细表</w:t>
      </w:r>
    </w:p>
    <w:tbl>
      <w:tblPr>
        <w:tblStyle w:val="35"/>
        <w:tblW w:w="10963"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849"/>
        <w:gridCol w:w="657"/>
        <w:gridCol w:w="753"/>
        <w:gridCol w:w="667"/>
        <w:gridCol w:w="713"/>
        <w:gridCol w:w="6156"/>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8" w:type="dxa"/>
            <w:shd w:val="clear" w:color="auto" w:fill="auto"/>
            <w:vAlign w:val="top"/>
          </w:tcPr>
          <w:p>
            <w:pPr>
              <w:rPr>
                <w:rFonts w:hint="eastAsia" w:ascii="Calibri" w:hAnsi="Calibri" w:eastAsia="宋体" w:cs="Times New Roman"/>
                <w:kern w:val="2"/>
                <w:sz w:val="21"/>
                <w:szCs w:val="24"/>
                <w:vertAlign w:val="baseline"/>
                <w:lang w:val="en-US" w:eastAsia="zh-CN" w:bidi="ar-SA"/>
              </w:rPr>
            </w:pPr>
            <w:r>
              <w:rPr>
                <w:rFonts w:hint="eastAsia" w:ascii="Calibri" w:hAnsi="Calibri" w:eastAsia="宋体" w:cs="Times New Roman"/>
                <w:szCs w:val="24"/>
                <w:vertAlign w:val="baseline"/>
                <w:lang w:val="en-US" w:eastAsia="zh-CN"/>
              </w:rPr>
              <w:t>序号</w:t>
            </w:r>
          </w:p>
        </w:tc>
        <w:tc>
          <w:tcPr>
            <w:tcW w:w="849" w:type="dxa"/>
            <w:shd w:val="clear" w:color="auto" w:fill="auto"/>
            <w:vAlign w:val="center"/>
          </w:tcPr>
          <w:p>
            <w:pPr>
              <w:jc w:val="center"/>
              <w:rPr>
                <w:rFonts w:hint="eastAsia" w:ascii="Calibri" w:hAnsi="Calibri" w:eastAsia="宋体" w:cs="Times New Roman"/>
                <w:kern w:val="2"/>
                <w:sz w:val="21"/>
                <w:szCs w:val="24"/>
                <w:vertAlign w:val="baseline"/>
                <w:lang w:val="en-US" w:eastAsia="zh-CN" w:bidi="ar-SA"/>
              </w:rPr>
            </w:pPr>
            <w:r>
              <w:rPr>
                <w:rFonts w:hint="eastAsia" w:ascii="Calibri" w:hAnsi="Calibri" w:eastAsia="宋体" w:cs="Times New Roman"/>
                <w:szCs w:val="24"/>
                <w:vertAlign w:val="baseline"/>
                <w:lang w:val="en-US" w:eastAsia="zh-CN"/>
              </w:rPr>
              <w:t>产品名称</w:t>
            </w:r>
          </w:p>
        </w:tc>
        <w:tc>
          <w:tcPr>
            <w:tcW w:w="657" w:type="dxa"/>
            <w:shd w:val="clear" w:color="auto" w:fill="auto"/>
            <w:vAlign w:val="center"/>
          </w:tcPr>
          <w:p>
            <w:pPr>
              <w:jc w:val="center"/>
              <w:rPr>
                <w:rFonts w:hint="default" w:ascii="Calibri" w:hAnsi="Calibri" w:eastAsia="宋体" w:cs="Times New Roman"/>
                <w:kern w:val="2"/>
                <w:sz w:val="21"/>
                <w:szCs w:val="24"/>
                <w:vertAlign w:val="baseline"/>
                <w:lang w:val="en-US" w:eastAsia="zh-CN" w:bidi="ar-SA"/>
              </w:rPr>
            </w:pPr>
            <w:r>
              <w:rPr>
                <w:rFonts w:hint="eastAsia" w:ascii="Calibri" w:hAnsi="Calibri" w:eastAsia="宋体" w:cs="Times New Roman"/>
                <w:szCs w:val="24"/>
                <w:vertAlign w:val="baseline"/>
                <w:lang w:val="en-US" w:eastAsia="zh-CN"/>
              </w:rPr>
              <w:t>数量</w:t>
            </w:r>
          </w:p>
        </w:tc>
        <w:tc>
          <w:tcPr>
            <w:tcW w:w="753" w:type="dxa"/>
            <w:shd w:val="clear" w:color="auto" w:fill="auto"/>
            <w:vAlign w:val="center"/>
          </w:tcPr>
          <w:p>
            <w:pPr>
              <w:jc w:val="center"/>
              <w:rPr>
                <w:rFonts w:hint="eastAsia" w:ascii="Calibri" w:hAnsi="Calibri" w:eastAsia="宋体" w:cs="Times New Roman"/>
                <w:kern w:val="2"/>
                <w:sz w:val="21"/>
                <w:szCs w:val="24"/>
                <w:vertAlign w:val="baseline"/>
                <w:lang w:val="en-US" w:eastAsia="zh-CN" w:bidi="ar-SA"/>
              </w:rPr>
            </w:pPr>
            <w:r>
              <w:rPr>
                <w:rFonts w:hint="eastAsia" w:ascii="Calibri" w:hAnsi="Calibri" w:eastAsia="宋体" w:cs="Times New Roman"/>
                <w:szCs w:val="24"/>
                <w:vertAlign w:val="baseline"/>
                <w:lang w:val="en-US" w:eastAsia="zh-CN"/>
              </w:rPr>
              <w:t>单位</w:t>
            </w:r>
          </w:p>
        </w:tc>
        <w:tc>
          <w:tcPr>
            <w:tcW w:w="667" w:type="dxa"/>
            <w:shd w:val="clear" w:color="auto" w:fill="auto"/>
            <w:vAlign w:val="center"/>
          </w:tcPr>
          <w:p>
            <w:pPr>
              <w:jc w:val="center"/>
              <w:rPr>
                <w:rFonts w:hint="eastAsia" w:ascii="Calibri" w:hAnsi="Calibri" w:eastAsia="宋体" w:cs="Times New Roman"/>
                <w:kern w:val="2"/>
                <w:sz w:val="21"/>
                <w:szCs w:val="24"/>
                <w:vertAlign w:val="baseline"/>
                <w:lang w:val="en-US" w:eastAsia="zh-CN" w:bidi="ar-SA"/>
              </w:rPr>
            </w:pPr>
            <w:r>
              <w:rPr>
                <w:rFonts w:hint="eastAsia" w:ascii="Calibri" w:hAnsi="Calibri" w:eastAsia="宋体" w:cs="Times New Roman"/>
                <w:szCs w:val="24"/>
                <w:vertAlign w:val="baseline"/>
                <w:lang w:val="en-US" w:eastAsia="zh-CN"/>
              </w:rPr>
              <w:t>单价</w:t>
            </w:r>
          </w:p>
        </w:tc>
        <w:tc>
          <w:tcPr>
            <w:tcW w:w="713" w:type="dxa"/>
            <w:shd w:val="clear" w:color="auto" w:fill="auto"/>
            <w:vAlign w:val="center"/>
          </w:tcPr>
          <w:p>
            <w:pPr>
              <w:jc w:val="center"/>
              <w:rPr>
                <w:rFonts w:hint="default" w:ascii="Calibri" w:hAnsi="Calibri" w:eastAsia="宋体" w:cs="Times New Roman"/>
                <w:kern w:val="2"/>
                <w:sz w:val="21"/>
                <w:szCs w:val="24"/>
                <w:vertAlign w:val="baseline"/>
                <w:lang w:val="en-US" w:eastAsia="zh-CN" w:bidi="ar-SA"/>
              </w:rPr>
            </w:pPr>
            <w:r>
              <w:rPr>
                <w:rFonts w:hint="eastAsia" w:ascii="Calibri" w:hAnsi="Calibri" w:eastAsia="宋体" w:cs="Times New Roman"/>
                <w:szCs w:val="24"/>
                <w:vertAlign w:val="baseline"/>
                <w:lang w:val="en-US" w:eastAsia="zh-CN"/>
              </w:rPr>
              <w:t>总价</w:t>
            </w:r>
          </w:p>
        </w:tc>
        <w:tc>
          <w:tcPr>
            <w:tcW w:w="6156" w:type="dxa"/>
            <w:shd w:val="clear" w:color="auto" w:fill="auto"/>
            <w:vAlign w:val="center"/>
          </w:tcPr>
          <w:p>
            <w:pPr>
              <w:jc w:val="center"/>
              <w:rPr>
                <w:rFonts w:hint="eastAsia" w:ascii="Calibri" w:hAnsi="Calibri" w:eastAsia="宋体" w:cs="Times New Roman"/>
                <w:kern w:val="2"/>
                <w:sz w:val="21"/>
                <w:szCs w:val="24"/>
                <w:vertAlign w:val="baseline"/>
                <w:lang w:val="en-US" w:eastAsia="zh-CN" w:bidi="ar-SA"/>
              </w:rPr>
            </w:pPr>
            <w:r>
              <w:rPr>
                <w:rFonts w:hint="eastAsia" w:ascii="Calibri" w:hAnsi="Calibri" w:eastAsia="宋体" w:cs="Times New Roman"/>
                <w:szCs w:val="24"/>
                <w:vertAlign w:val="baseline"/>
                <w:lang w:val="en-US" w:eastAsia="zh-CN"/>
              </w:rPr>
              <w:t>技术参数</w:t>
            </w:r>
          </w:p>
        </w:tc>
        <w:tc>
          <w:tcPr>
            <w:tcW w:w="760" w:type="dxa"/>
          </w:tcPr>
          <w:p>
            <w:pPr>
              <w:rPr>
                <w:rFonts w:hint="eastAsia" w:ascii="Calibri" w:hAnsi="Calibri" w:eastAsia="宋体" w:cs="Times New Roman"/>
                <w:szCs w:val="24"/>
                <w:vertAlign w:val="baseline"/>
                <w:lang w:val="en-US" w:eastAsia="zh-CN"/>
              </w:rPr>
            </w:pPr>
            <w:r>
              <w:rPr>
                <w:rFonts w:hint="eastAsia" w:ascii="Calibri" w:hAnsi="Calibri" w:eastAsia="宋体" w:cs="Times New Roman"/>
                <w:szCs w:val="24"/>
                <w:vertAlign w:val="baseline"/>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8" w:type="dxa"/>
            <w:shd w:val="clear" w:color="auto" w:fill="auto"/>
            <w:vAlign w:val="center"/>
          </w:tcPr>
          <w:p>
            <w:pPr>
              <w:jc w:val="center"/>
              <w:rPr>
                <w:rFonts w:hint="eastAsia" w:ascii="Calibri" w:hAnsi="Calibri" w:eastAsia="宋体" w:cs="Times New Roman"/>
                <w:kern w:val="2"/>
                <w:sz w:val="21"/>
                <w:szCs w:val="24"/>
                <w:vertAlign w:val="baseline"/>
                <w:lang w:val="en-US" w:eastAsia="zh-CN" w:bidi="ar-SA"/>
              </w:rPr>
            </w:pPr>
            <w:r>
              <w:rPr>
                <w:rFonts w:hint="eastAsia" w:ascii="Calibri" w:hAnsi="Calibri" w:eastAsia="宋体" w:cs="Times New Roman"/>
                <w:szCs w:val="24"/>
                <w:vertAlign w:val="baseline"/>
                <w:lang w:val="en-US" w:eastAsia="zh-CN"/>
              </w:rPr>
              <w:t>1</w:t>
            </w:r>
          </w:p>
        </w:tc>
        <w:tc>
          <w:tcPr>
            <w:tcW w:w="849" w:type="dxa"/>
            <w:shd w:val="clear" w:color="auto" w:fill="auto"/>
            <w:vAlign w:val="center"/>
          </w:tcPr>
          <w:p>
            <w:pPr>
              <w:jc w:val="center"/>
              <w:rPr>
                <w:rFonts w:hint="eastAsia" w:ascii="Calibri" w:hAnsi="Calibri" w:eastAsia="宋体" w:cs="Times New Roman"/>
                <w:kern w:val="2"/>
                <w:sz w:val="21"/>
                <w:szCs w:val="24"/>
                <w:vertAlign w:val="baseline"/>
                <w:lang w:val="en-US" w:eastAsia="zh-CN" w:bidi="ar-SA"/>
              </w:rPr>
            </w:pPr>
            <w:r>
              <w:rPr>
                <w:rFonts w:hint="eastAsia" w:ascii="Calibri" w:hAnsi="Calibri" w:eastAsia="宋体" w:cs="Times New Roman"/>
                <w:szCs w:val="24"/>
                <w:vertAlign w:val="baseline"/>
                <w:lang w:val="en-US" w:eastAsia="zh-CN"/>
              </w:rPr>
              <w:t>旋转式压片机</w:t>
            </w:r>
          </w:p>
        </w:tc>
        <w:tc>
          <w:tcPr>
            <w:tcW w:w="657" w:type="dxa"/>
            <w:shd w:val="clear" w:color="auto" w:fill="auto"/>
            <w:vAlign w:val="center"/>
          </w:tcPr>
          <w:p>
            <w:pPr>
              <w:jc w:val="center"/>
              <w:rPr>
                <w:rFonts w:hint="default" w:ascii="Calibri" w:hAnsi="Calibri" w:eastAsia="宋体" w:cs="Times New Roman"/>
                <w:kern w:val="2"/>
                <w:sz w:val="21"/>
                <w:szCs w:val="24"/>
                <w:vertAlign w:val="baseline"/>
                <w:lang w:val="en-US" w:eastAsia="zh-CN" w:bidi="ar-SA"/>
              </w:rPr>
            </w:pPr>
            <w:r>
              <w:rPr>
                <w:rFonts w:hint="eastAsia" w:ascii="Calibri" w:hAnsi="Calibri" w:eastAsia="宋体" w:cs="Times New Roman"/>
                <w:kern w:val="2"/>
                <w:sz w:val="21"/>
                <w:szCs w:val="24"/>
                <w:vertAlign w:val="baseline"/>
                <w:lang w:val="en-US" w:eastAsia="zh-CN" w:bidi="ar-SA"/>
              </w:rPr>
              <w:t>1</w:t>
            </w:r>
          </w:p>
        </w:tc>
        <w:tc>
          <w:tcPr>
            <w:tcW w:w="753" w:type="dxa"/>
            <w:shd w:val="clear" w:color="auto" w:fill="auto"/>
            <w:vAlign w:val="center"/>
          </w:tcPr>
          <w:p>
            <w:pPr>
              <w:jc w:val="center"/>
              <w:rPr>
                <w:rFonts w:hint="eastAsia" w:ascii="Calibri" w:hAnsi="Calibri" w:eastAsia="宋体" w:cs="Times New Roman"/>
                <w:kern w:val="2"/>
                <w:sz w:val="21"/>
                <w:szCs w:val="24"/>
                <w:vertAlign w:val="baseline"/>
                <w:lang w:val="en-US" w:eastAsia="zh-CN" w:bidi="ar-SA"/>
              </w:rPr>
            </w:pPr>
            <w:r>
              <w:rPr>
                <w:rFonts w:hint="eastAsia" w:ascii="Calibri" w:hAnsi="Calibri" w:eastAsia="宋体" w:cs="Times New Roman"/>
                <w:szCs w:val="24"/>
                <w:vertAlign w:val="baseline"/>
                <w:lang w:val="en-US" w:eastAsia="zh-CN"/>
              </w:rPr>
              <w:t>台</w:t>
            </w:r>
          </w:p>
        </w:tc>
        <w:tc>
          <w:tcPr>
            <w:tcW w:w="667" w:type="dxa"/>
            <w:shd w:val="clear" w:color="auto" w:fill="auto"/>
            <w:vAlign w:val="center"/>
          </w:tcPr>
          <w:p>
            <w:pPr>
              <w:jc w:val="center"/>
              <w:rPr>
                <w:rFonts w:hint="default" w:ascii="Calibri" w:hAnsi="Calibri" w:eastAsia="宋体" w:cs="Times New Roman"/>
                <w:kern w:val="2"/>
                <w:sz w:val="21"/>
                <w:szCs w:val="24"/>
                <w:vertAlign w:val="baseline"/>
                <w:lang w:val="en-US" w:eastAsia="zh-CN" w:bidi="ar-SA"/>
              </w:rPr>
            </w:pPr>
          </w:p>
        </w:tc>
        <w:tc>
          <w:tcPr>
            <w:tcW w:w="713" w:type="dxa"/>
            <w:shd w:val="clear" w:color="auto" w:fill="auto"/>
            <w:vAlign w:val="center"/>
          </w:tcPr>
          <w:p>
            <w:pPr>
              <w:jc w:val="center"/>
              <w:rPr>
                <w:rFonts w:hint="default" w:ascii="Calibri" w:hAnsi="Calibri" w:eastAsia="宋体" w:cs="Times New Roman"/>
                <w:kern w:val="2"/>
                <w:sz w:val="21"/>
                <w:szCs w:val="24"/>
                <w:vertAlign w:val="baseline"/>
                <w:lang w:val="en-US" w:eastAsia="zh-CN" w:bidi="ar-SA"/>
              </w:rPr>
            </w:pPr>
          </w:p>
        </w:tc>
        <w:tc>
          <w:tcPr>
            <w:tcW w:w="615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Calibri" w:hAnsi="Calibri" w:eastAsia="宋体" w:cs="Times New Roman"/>
                <w:szCs w:val="24"/>
                <w:vertAlign w:val="baseline"/>
              </w:rPr>
            </w:pPr>
            <w:r>
              <w:rPr>
                <w:rFonts w:hint="eastAsia" w:ascii="Calibri" w:hAnsi="Calibri" w:eastAsia="宋体" w:cs="Times New Roman"/>
                <w:szCs w:val="24"/>
                <w:vertAlign w:val="baseline"/>
              </w:rPr>
              <w:t>1，冲头数量5</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Calibri" w:hAnsi="Calibri" w:eastAsia="宋体" w:cs="Times New Roman"/>
                <w:szCs w:val="24"/>
                <w:vertAlign w:val="baseline"/>
              </w:rPr>
            </w:pPr>
            <w:r>
              <w:rPr>
                <w:rFonts w:hint="eastAsia" w:ascii="Calibri" w:hAnsi="Calibri" w:eastAsia="宋体" w:cs="Times New Roman"/>
                <w:szCs w:val="24"/>
                <w:vertAlign w:val="baseline"/>
              </w:rPr>
              <w:t>2，药片最大直径15mm</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Calibri" w:hAnsi="Calibri" w:eastAsia="宋体" w:cs="Times New Roman"/>
                <w:szCs w:val="24"/>
                <w:vertAlign w:val="baseline"/>
              </w:rPr>
            </w:pPr>
            <w:r>
              <w:rPr>
                <w:rFonts w:hint="eastAsia" w:ascii="Calibri" w:hAnsi="Calibri" w:eastAsia="宋体" w:cs="Times New Roman"/>
                <w:szCs w:val="24"/>
                <w:vertAlign w:val="baseline"/>
              </w:rPr>
              <w:t>3，最高转台转速40r/min</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Calibri" w:hAnsi="Calibri" w:eastAsia="宋体" w:cs="Times New Roman"/>
                <w:szCs w:val="24"/>
                <w:vertAlign w:val="baseline"/>
              </w:rPr>
            </w:pPr>
            <w:r>
              <w:rPr>
                <w:rFonts w:hint="eastAsia" w:ascii="Calibri" w:hAnsi="Calibri" w:eastAsia="宋体" w:cs="Times New Roman"/>
                <w:szCs w:val="24"/>
                <w:vertAlign w:val="baseline"/>
              </w:rPr>
              <w:t>4，最大主压力60kn（作业压力40Kn左右）</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Calibri" w:hAnsi="Calibri" w:eastAsia="宋体" w:cs="Times New Roman"/>
                <w:szCs w:val="24"/>
                <w:vertAlign w:val="baseline"/>
              </w:rPr>
            </w:pPr>
            <w:r>
              <w:rPr>
                <w:rFonts w:hint="eastAsia" w:ascii="Calibri" w:hAnsi="Calibri" w:eastAsia="宋体" w:cs="Times New Roman"/>
                <w:szCs w:val="24"/>
                <w:vertAlign w:val="baseline"/>
              </w:rPr>
              <w:t>5,最大产量9600pcs/h</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Calibri" w:hAnsi="Calibri" w:eastAsia="宋体" w:cs="Times New Roman"/>
                <w:szCs w:val="24"/>
                <w:vertAlign w:val="baseline"/>
              </w:rPr>
            </w:pPr>
            <w:r>
              <w:rPr>
                <w:rFonts w:hint="eastAsia" w:ascii="Calibri" w:hAnsi="Calibri" w:eastAsia="宋体" w:cs="Times New Roman"/>
                <w:szCs w:val="24"/>
                <w:vertAlign w:val="baseline"/>
              </w:rPr>
              <w:t>6，主机重量</w:t>
            </w:r>
            <w:r>
              <w:rPr>
                <w:rFonts w:hint="eastAsia" w:ascii="Calibri" w:hAnsi="Calibri" w:eastAsia="宋体" w:cs="Times New Roman"/>
                <w:szCs w:val="24"/>
                <w:vertAlign w:val="baseline"/>
                <w:lang w:val="en-US" w:eastAsia="zh-CN"/>
              </w:rPr>
              <w:t>≤</w:t>
            </w:r>
            <w:r>
              <w:rPr>
                <w:rFonts w:hint="eastAsia" w:ascii="Calibri" w:hAnsi="Calibri" w:eastAsia="宋体" w:cs="Times New Roman"/>
                <w:szCs w:val="24"/>
                <w:vertAlign w:val="baseline"/>
              </w:rPr>
              <w:t>250Kg</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Calibri" w:hAnsi="Calibri" w:eastAsia="宋体" w:cs="Times New Roman"/>
                <w:szCs w:val="24"/>
                <w:vertAlign w:val="baseline"/>
              </w:rPr>
            </w:pPr>
            <w:r>
              <w:rPr>
                <w:rFonts w:hint="eastAsia" w:ascii="Calibri" w:hAnsi="Calibri" w:eastAsia="宋体" w:cs="Times New Roman"/>
                <w:szCs w:val="24"/>
                <w:vertAlign w:val="baseline"/>
              </w:rPr>
              <w:t>7，噪音〈75DB(A)</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Calibri" w:hAnsi="Calibri" w:eastAsia="宋体" w:cs="Times New Roman"/>
                <w:szCs w:val="24"/>
                <w:vertAlign w:val="baseline"/>
              </w:rPr>
            </w:pPr>
            <w:r>
              <w:rPr>
                <w:rFonts w:hint="eastAsia" w:ascii="Calibri" w:hAnsi="Calibri" w:eastAsia="宋体" w:cs="Times New Roman"/>
                <w:szCs w:val="24"/>
                <w:vertAlign w:val="baseline"/>
              </w:rPr>
              <w:t>8，主电机功率：2.2kw</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Calibri" w:hAnsi="Calibri" w:eastAsia="宋体" w:cs="Times New Roman"/>
                <w:szCs w:val="24"/>
                <w:vertAlign w:val="baseline"/>
              </w:rPr>
            </w:pPr>
            <w:r>
              <w:rPr>
                <w:rFonts w:hint="eastAsia" w:ascii="Calibri" w:hAnsi="Calibri" w:eastAsia="宋体" w:cs="Times New Roman"/>
                <w:szCs w:val="24"/>
                <w:vertAlign w:val="baseline"/>
              </w:rPr>
              <w:t>9，可调节片厚和填充深度</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Calibri" w:hAnsi="Calibri" w:eastAsia="宋体" w:cs="Times New Roman"/>
                <w:szCs w:val="24"/>
                <w:vertAlign w:val="baseline"/>
              </w:rPr>
            </w:pPr>
            <w:r>
              <w:rPr>
                <w:rFonts w:hint="eastAsia" w:ascii="Calibri" w:hAnsi="Calibri" w:eastAsia="宋体" w:cs="Times New Roman"/>
                <w:szCs w:val="24"/>
                <w:vertAlign w:val="baseline"/>
              </w:rPr>
              <w:t>10，传动系统密闭在机器主体下方电气箱中</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Calibri" w:hAnsi="Calibri" w:eastAsia="宋体" w:cs="Times New Roman"/>
                <w:kern w:val="2"/>
                <w:sz w:val="21"/>
                <w:szCs w:val="24"/>
                <w:vertAlign w:val="baseline"/>
                <w:lang w:val="en-US" w:eastAsia="zh-CN" w:bidi="ar-SA"/>
              </w:rPr>
            </w:pPr>
            <w:r>
              <w:rPr>
                <w:rFonts w:hint="eastAsia" w:ascii="Calibri" w:hAnsi="Calibri" w:eastAsia="宋体" w:cs="Times New Roman"/>
                <w:kern w:val="2"/>
                <w:sz w:val="21"/>
                <w:szCs w:val="24"/>
                <w:vertAlign w:val="baseline"/>
                <w:lang w:val="en-US" w:eastAsia="zh-CN" w:bidi="ar-SA"/>
              </w:rPr>
              <w:t>11，采用PLC控制系统，使用专用高速芯片，基本指令处理时间仅 0.15μs/指令，具有高速计数器与冲输出，标配1个RJ45以太网口，支持与编程设备（1个）、HMI设备（最多8个）的连接，便于联网和远程维护，具备数字孪生扩展对接功能；7寸屏幕，高性能PLC+工业计算机控制，转速及压片产能等数据显示、能实现批次管理，单冲压力监控功能。</w:t>
            </w:r>
          </w:p>
        </w:tc>
        <w:tc>
          <w:tcPr>
            <w:tcW w:w="760" w:type="dxa"/>
          </w:tcPr>
          <w:p>
            <w:pPr>
              <w:rPr>
                <w:rFonts w:ascii="Calibri" w:hAnsi="Calibri" w:eastAsia="宋体" w:cs="Times New Roman"/>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8" w:type="dxa"/>
            <w:shd w:val="clear" w:color="auto" w:fill="auto"/>
            <w:vAlign w:val="center"/>
          </w:tcPr>
          <w:p>
            <w:pPr>
              <w:jc w:val="center"/>
              <w:rPr>
                <w:rFonts w:hint="default" w:ascii="Calibri" w:hAnsi="Calibri" w:eastAsia="宋体" w:cs="Times New Roman"/>
                <w:szCs w:val="24"/>
                <w:vertAlign w:val="baseline"/>
                <w:lang w:val="en-US" w:eastAsia="zh-CN"/>
              </w:rPr>
            </w:pPr>
            <w:r>
              <w:rPr>
                <w:rFonts w:hint="eastAsia" w:ascii="Calibri" w:hAnsi="Calibri" w:eastAsia="宋体" w:cs="Times New Roman"/>
                <w:szCs w:val="24"/>
                <w:vertAlign w:val="baseline"/>
                <w:lang w:val="en-US" w:eastAsia="zh-CN"/>
              </w:rPr>
              <w:t>2</w:t>
            </w:r>
          </w:p>
        </w:tc>
        <w:tc>
          <w:tcPr>
            <w:tcW w:w="849" w:type="dxa"/>
            <w:shd w:val="clear" w:color="auto" w:fill="auto"/>
            <w:vAlign w:val="center"/>
          </w:tcPr>
          <w:p>
            <w:pPr>
              <w:jc w:val="center"/>
              <w:rPr>
                <w:rFonts w:hint="eastAsia" w:ascii="Calibri" w:hAnsi="Calibri" w:eastAsia="宋体" w:cs="Times New Roman"/>
                <w:kern w:val="2"/>
                <w:sz w:val="21"/>
                <w:szCs w:val="24"/>
                <w:vertAlign w:val="baseline"/>
                <w:lang w:val="en-US" w:eastAsia="zh-CN" w:bidi="ar-SA"/>
              </w:rPr>
            </w:pPr>
            <w:r>
              <w:rPr>
                <w:rFonts w:hint="eastAsia" w:ascii="Calibri" w:hAnsi="Calibri" w:eastAsia="宋体" w:cs="Times New Roman"/>
                <w:kern w:val="2"/>
                <w:sz w:val="21"/>
                <w:szCs w:val="24"/>
                <w:vertAlign w:val="baseline"/>
                <w:lang w:val="en-US" w:eastAsia="zh-CN" w:bidi="ar-SA"/>
              </w:rPr>
              <w:t>紫外可见分光光度计</w:t>
            </w:r>
          </w:p>
        </w:tc>
        <w:tc>
          <w:tcPr>
            <w:tcW w:w="657" w:type="dxa"/>
            <w:shd w:val="clear" w:color="auto" w:fill="auto"/>
            <w:vAlign w:val="center"/>
          </w:tcPr>
          <w:p>
            <w:pPr>
              <w:jc w:val="center"/>
              <w:rPr>
                <w:rFonts w:hint="default" w:ascii="Calibri" w:hAnsi="Calibri" w:eastAsia="宋体" w:cs="Times New Roman"/>
                <w:szCs w:val="24"/>
                <w:vertAlign w:val="baseline"/>
                <w:lang w:val="en-US" w:eastAsia="zh-CN"/>
              </w:rPr>
            </w:pPr>
            <w:r>
              <w:rPr>
                <w:rFonts w:hint="eastAsia" w:ascii="Calibri" w:hAnsi="Calibri" w:eastAsia="宋体" w:cs="Times New Roman"/>
                <w:szCs w:val="24"/>
                <w:vertAlign w:val="baseline"/>
                <w:lang w:val="en-US" w:eastAsia="zh-CN"/>
              </w:rPr>
              <w:t>1</w:t>
            </w:r>
          </w:p>
        </w:tc>
        <w:tc>
          <w:tcPr>
            <w:tcW w:w="753" w:type="dxa"/>
            <w:shd w:val="clear" w:color="auto" w:fill="auto"/>
            <w:vAlign w:val="center"/>
          </w:tcPr>
          <w:p>
            <w:pPr>
              <w:jc w:val="center"/>
              <w:rPr>
                <w:rFonts w:hint="default" w:ascii="Calibri" w:hAnsi="Calibri" w:eastAsia="宋体" w:cs="Times New Roman"/>
                <w:szCs w:val="24"/>
                <w:vertAlign w:val="baseline"/>
                <w:lang w:val="en-US" w:eastAsia="zh-CN"/>
              </w:rPr>
            </w:pPr>
            <w:r>
              <w:rPr>
                <w:rFonts w:hint="eastAsia" w:ascii="Calibri" w:hAnsi="Calibri" w:eastAsia="宋体" w:cs="Times New Roman"/>
                <w:szCs w:val="24"/>
                <w:vertAlign w:val="baseline"/>
                <w:lang w:val="en-US" w:eastAsia="zh-CN"/>
              </w:rPr>
              <w:t>台</w:t>
            </w:r>
          </w:p>
        </w:tc>
        <w:tc>
          <w:tcPr>
            <w:tcW w:w="667" w:type="dxa"/>
            <w:shd w:val="clear" w:color="auto" w:fill="auto"/>
            <w:vAlign w:val="center"/>
          </w:tcPr>
          <w:p>
            <w:pPr>
              <w:jc w:val="center"/>
              <w:rPr>
                <w:rFonts w:hint="default" w:ascii="Calibri" w:hAnsi="Calibri" w:eastAsia="宋体" w:cs="Times New Roman"/>
                <w:kern w:val="2"/>
                <w:sz w:val="21"/>
                <w:szCs w:val="24"/>
                <w:vertAlign w:val="baseline"/>
                <w:lang w:val="en-US" w:eastAsia="zh-CN" w:bidi="ar-SA"/>
              </w:rPr>
            </w:pPr>
          </w:p>
        </w:tc>
        <w:tc>
          <w:tcPr>
            <w:tcW w:w="713" w:type="dxa"/>
            <w:shd w:val="clear" w:color="auto" w:fill="auto"/>
            <w:vAlign w:val="center"/>
          </w:tcPr>
          <w:p>
            <w:pPr>
              <w:jc w:val="both"/>
              <w:rPr>
                <w:rFonts w:hint="default" w:ascii="Calibri" w:hAnsi="Calibri" w:eastAsia="宋体" w:cs="Times New Roman"/>
                <w:kern w:val="2"/>
                <w:sz w:val="21"/>
                <w:szCs w:val="24"/>
                <w:vertAlign w:val="baseline"/>
                <w:lang w:val="en-US" w:eastAsia="zh-CN" w:bidi="ar-SA"/>
              </w:rPr>
            </w:pPr>
          </w:p>
        </w:tc>
        <w:tc>
          <w:tcPr>
            <w:tcW w:w="6156" w:type="dxa"/>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1、采用 10.1英寸彩色智能触控屏， 搭载安卓10操作系统，26万真彩色显示，178°广域视角，触摸灵敏，反应迅速。</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2、无线WiFi联网功能，可连接网络打印机打印测试数据。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3、蓝牙连接，可随时发送测试图谱、截图或者录屏文件到手机端。</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4、标配8G大内存，可存储海量测试数据。内置帮助视频，操作手册，新手测试员也可快速适应。</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5、采用比例监测双光束光路结构， 并配置高性能 “闪耀全息光栅”的低杂散光高分辨率的单色器，具有出众的光学精度、测量准确性、重现性和稳定性。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6、 独特的自动调整“ 0%”调整“ 100% ”，自动8联池比色皿架。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 带USB通讯口，可通过PC端进行测试操作，可通过U盘直接导出多种表格数据。</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8、断电保护措施，记忆测得数据、扫描图谱、回归方程以及仪器修正值等，并实现了开机快速初始化进入测试状态。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9、仪器采用高能量的进口长寿命法兰盘定位氘灯，进口钨灯。更换仪器氘灯时，只需卸装两枚法兰盘定位螺丝，即可保证灯源处于理想位置，无须烦琐的光路调整。</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 自动八联1cm比色皿架。</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11、 测光方式： 比例双光束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12、 单色器： Czerny - Turner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13、 焦距： 160mm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14、 光栅： 1200 线/mm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15、 检测器： 进口接收器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16、光谱带宽： 1.8nm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17、 波长设定： 自动</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18、 波长范围： 190 ~ 1100nm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19、 波长准确度： ±0.3nm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20、波长重复性： ≤ 0.1nm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21、波长扫描速度： 快、中、慢 （S款）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 光源切换波长： 340nm （可调整）</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23、杂散光： ≤ 0.03%(T (在220nm处，以Nal测定)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(在360nm处，以NaNO2测定)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 （在420nm处，以截止滤光片测定）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24、 光度范围：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220" w:firstLineChars="1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0.0 ~ 200.0% T </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 xml:space="preserve"> -0.301 ~ 4.000A </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 xml:space="preserve">  0.000 ~ 9999C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25、光度准确度：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±0.3%T </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±0.002Abs（0 ~ 0.5A）</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 xml:space="preserve">±0.004Abs（0.5 ~ 1A）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26、光度重复性：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220" w:firstLineChars="1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 0.15%T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218" w:leftChars="104"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0.001Abs（0 ~ 0.5A） </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 xml:space="preserve">0.002Abs（0.5 ~ 1A）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27、 基线平直度： ±0.0015A (200 ~ 1090nm)  （S款）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28、边缘噪声： 100%T处：≤0.15% T  ≤0.0007A</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0%T处：≤0.1% T  ≤0.0002A</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29、基线漂移： 0.0009Abs/0.5h  (开机2小时，在250nm和500nm处测定)</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30、电源电压： AC220V±22V 50Hz±1Hz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textAlignment w:val="auto"/>
              <w:rPr>
                <w:rFonts w:hint="eastAsia" w:ascii="宋体" w:hAnsi="宋体" w:eastAsia="宋体" w:cs="宋体"/>
                <w:spacing w:val="7"/>
                <w:sz w:val="22"/>
                <w:szCs w:val="22"/>
              </w:rPr>
            </w:pPr>
            <w:r>
              <w:rPr>
                <w:rFonts w:hint="eastAsia" w:ascii="宋体" w:hAnsi="宋体" w:eastAsia="宋体" w:cs="宋体"/>
                <w:sz w:val="22"/>
                <w:szCs w:val="22"/>
                <w:lang w:val="en-US" w:eastAsia="zh-CN"/>
              </w:rPr>
              <w:t>31、额定功率： 200W</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32、选配可扩展气体比色皿架和气体比色皿，（需提供搭配主机运行的实物照片）</w:t>
            </w:r>
          </w:p>
        </w:tc>
        <w:tc>
          <w:tcPr>
            <w:tcW w:w="760" w:type="dxa"/>
            <w:vAlign w:val="top"/>
          </w:tcPr>
          <w:p>
            <w:pPr>
              <w:rPr>
                <w:rFonts w:ascii="Calibri" w:hAnsi="Calibri" w:eastAsia="宋体" w:cs="Times New Roman"/>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63" w:type="dxa"/>
            <w:gridSpan w:val="8"/>
            <w:shd w:val="clear" w:color="auto" w:fill="auto"/>
            <w:vAlign w:val="top"/>
          </w:tcPr>
          <w:p>
            <w:pPr>
              <w:rPr>
                <w:rFonts w:ascii="Calibri" w:hAnsi="Calibri" w:eastAsia="宋体" w:cs="Times New Roman"/>
                <w:szCs w:val="24"/>
                <w:vertAlign w:val="baseline"/>
              </w:rPr>
            </w:pPr>
            <w:r>
              <w:rPr>
                <w:rFonts w:hint="eastAsia" w:ascii="宋体" w:hAnsi="宋体" w:eastAsia="宋体" w:cs="宋体"/>
                <w:b/>
                <w:bCs/>
                <w:sz w:val="22"/>
                <w:szCs w:val="22"/>
                <w:vertAlign w:val="baseline"/>
                <w:lang w:val="en-US" w:eastAsia="zh-CN"/>
              </w:rPr>
              <w:t>合计：小写：　　　　　元、大写：　　　　　　　　　　　　　　　　　元整。　　　　　　　　　　</w:t>
            </w:r>
          </w:p>
        </w:tc>
      </w:tr>
    </w:tbl>
    <w:p>
      <w:pPr>
        <w:rPr>
          <w:rFonts w:ascii="Calibri" w:hAnsi="Calibri" w:eastAsia="宋体" w:cs="Times New Roman"/>
          <w:szCs w:val="24"/>
        </w:rPr>
      </w:pPr>
    </w:p>
    <w:p>
      <w:pPr>
        <w:pStyle w:val="2"/>
        <w:rPr>
          <w:rFonts w:hint="eastAsia"/>
          <w:lang w:val="en-US" w:eastAsia="zh-CN"/>
        </w:rPr>
      </w:pPr>
      <w:r>
        <w:rPr>
          <w:rFonts w:hint="eastAsia"/>
          <w:lang w:val="en-US" w:eastAsia="zh-CN"/>
        </w:rPr>
        <w:t>商务要求：</w:t>
      </w:r>
    </w:p>
    <w:p>
      <w:pPr>
        <w:pStyle w:val="2"/>
        <w:rPr>
          <w:rFonts w:hint="eastAsia"/>
          <w:lang w:val="en-US" w:eastAsia="zh-CN"/>
        </w:rPr>
      </w:pPr>
      <w:r>
        <w:rPr>
          <w:rFonts w:hint="eastAsia"/>
          <w:lang w:val="en-US" w:eastAsia="zh-CN"/>
        </w:rPr>
        <w:t>1、交货时间：合同签订之日起15日内全部供货安装完毕。</w:t>
      </w:r>
    </w:p>
    <w:p>
      <w:pPr>
        <w:pStyle w:val="2"/>
        <w:rPr>
          <w:rFonts w:hint="eastAsia"/>
          <w:lang w:val="en-US" w:eastAsia="zh-CN"/>
        </w:rPr>
      </w:pPr>
      <w:r>
        <w:rPr>
          <w:rFonts w:hint="eastAsia"/>
          <w:lang w:val="en-US" w:eastAsia="zh-CN"/>
        </w:rPr>
        <w:t>2、质量标准：达到国家相关标准规定的要求，并通过采购人组织的验收。</w:t>
      </w:r>
    </w:p>
    <w:p>
      <w:pPr>
        <w:pStyle w:val="2"/>
        <w:rPr>
          <w:rFonts w:hint="eastAsia"/>
          <w:lang w:val="en-US" w:eastAsia="zh-CN"/>
        </w:rPr>
      </w:pPr>
      <w:r>
        <w:rPr>
          <w:rFonts w:hint="eastAsia"/>
          <w:lang w:val="en-US" w:eastAsia="zh-CN"/>
        </w:rPr>
        <w:t>3、售后服务</w:t>
      </w:r>
    </w:p>
    <w:p>
      <w:pPr>
        <w:pStyle w:val="2"/>
        <w:rPr>
          <w:rFonts w:hint="eastAsia"/>
          <w:lang w:val="en-US" w:eastAsia="zh-CN"/>
        </w:rPr>
      </w:pPr>
      <w:r>
        <w:rPr>
          <w:rFonts w:hint="eastAsia"/>
          <w:lang w:val="en-US" w:eastAsia="zh-CN"/>
        </w:rPr>
        <w:t>3.1 原厂免费上门安装调试 + 全设备现场操作培训；</w:t>
      </w:r>
      <w:bookmarkStart w:id="0" w:name="_GoBack"/>
      <w:bookmarkEnd w:id="0"/>
    </w:p>
    <w:p>
      <w:pPr>
        <w:pStyle w:val="2"/>
        <w:rPr>
          <w:rFonts w:hint="eastAsia"/>
          <w:lang w:val="en-US" w:eastAsia="zh-CN"/>
        </w:rPr>
      </w:pPr>
      <w:r>
        <w:rPr>
          <w:rFonts w:hint="eastAsia"/>
          <w:lang w:val="en-US" w:eastAsia="zh-CN"/>
        </w:rPr>
        <w:t>3.2 整体设备（含软件）1年免费质保及售后，含所有配件更换、上门维修；</w:t>
      </w:r>
    </w:p>
    <w:p>
      <w:pPr>
        <w:pStyle w:val="2"/>
        <w:rPr>
          <w:rFonts w:hint="eastAsia"/>
          <w:lang w:val="en-US" w:eastAsia="zh-CN"/>
        </w:rPr>
      </w:pPr>
      <w:r>
        <w:rPr>
          <w:rFonts w:hint="eastAsia"/>
          <w:lang w:val="en-US" w:eastAsia="zh-CN"/>
        </w:rPr>
        <w:t>3.3 终身 7*24 小时免费远程技术指导（不限次数）。</w:t>
      </w:r>
    </w:p>
    <w:p>
      <w:pPr>
        <w:pStyle w:val="2"/>
        <w:rPr>
          <w:rFonts w:hint="eastAsia"/>
          <w:lang w:val="en-US" w:eastAsia="zh-CN"/>
        </w:rPr>
      </w:pPr>
      <w:r>
        <w:rPr>
          <w:rFonts w:hint="eastAsia"/>
          <w:lang w:val="en-US" w:eastAsia="zh-CN"/>
        </w:rPr>
        <w:t>3.4乙方应在接到甲方通知后48小时内响应，5个工作日内完成维修或更换部件。</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0342D4"/>
    <w:rsid w:val="060A09F0"/>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642323C"/>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3D0F3F"/>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3E6B54"/>
    <w:rsid w:val="4FDA5DC0"/>
    <w:rsid w:val="511D7321"/>
    <w:rsid w:val="52172637"/>
    <w:rsid w:val="521B665C"/>
    <w:rsid w:val="52DE7538"/>
    <w:rsid w:val="53D6057F"/>
    <w:rsid w:val="550E655A"/>
    <w:rsid w:val="55677B7D"/>
    <w:rsid w:val="55751482"/>
    <w:rsid w:val="55A44E60"/>
    <w:rsid w:val="56793777"/>
    <w:rsid w:val="56D23F20"/>
    <w:rsid w:val="57524BAD"/>
    <w:rsid w:val="58511968"/>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AE2F6C"/>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28</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2026-06-15T06:57:09Z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