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2026年田径运动会舞台搭建音响租赁及广告</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6</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4</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28</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2026年田径运动会舞台搭建音响租赁及广告</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此报价必须单价、总价都要报，否则为无效报价</w:t>
      </w:r>
      <w:r>
        <w:rPr>
          <w:rFonts w:hint="eastAsia" w:ascii="宋体" w:hAnsi="宋体" w:cs="宋体"/>
          <w:b/>
          <w:bCs/>
          <w:sz w:val="18"/>
          <w:szCs w:val="18"/>
          <w:lang w:val="en-US" w:eastAsia="zh-CN"/>
        </w:rPr>
        <w:t>。</w:t>
      </w:r>
    </w:p>
    <w:p>
      <w:pPr>
        <w:numPr>
          <w:ilvl w:val="0"/>
          <w:numId w:val="0"/>
        </w:numP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xml:space="preserve">　   </w:t>
      </w:r>
    </w:p>
    <w:p>
      <w:pPr>
        <w:numPr>
          <w:ilvl w:val="0"/>
          <w:numId w:val="0"/>
        </w:numPr>
        <w:rPr>
          <w:rFonts w:hint="default"/>
          <w:lang w:val="en-US" w:eastAsia="zh-CN"/>
        </w:rPr>
      </w:pPr>
      <w:bookmarkStart w:id="0" w:name="_GoBack"/>
      <w:bookmarkEnd w:id="0"/>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W w:w="10624" w:type="dxa"/>
        <w:tblInd w:w="0" w:type="dxa"/>
        <w:shd w:val="clear"/>
        <w:tblLayout w:type="fixed"/>
        <w:tblCellMar>
          <w:top w:w="0" w:type="dxa"/>
          <w:left w:w="0" w:type="dxa"/>
          <w:bottom w:w="0" w:type="dxa"/>
          <w:right w:w="0" w:type="dxa"/>
        </w:tblCellMar>
      </w:tblPr>
      <w:tblGrid>
        <w:gridCol w:w="427"/>
        <w:gridCol w:w="1493"/>
        <w:gridCol w:w="4926"/>
        <w:gridCol w:w="729"/>
        <w:gridCol w:w="604"/>
        <w:gridCol w:w="754"/>
        <w:gridCol w:w="802"/>
        <w:gridCol w:w="889"/>
      </w:tblGrid>
      <w:tr>
        <w:tblPrEx>
          <w:shd w:val="clear"/>
          <w:tblLayout w:type="fixed"/>
          <w:tblCellMar>
            <w:top w:w="0" w:type="dxa"/>
            <w:left w:w="0" w:type="dxa"/>
            <w:bottom w:w="0" w:type="dxa"/>
            <w:right w:w="0" w:type="dxa"/>
          </w:tblCellMar>
        </w:tblPrEx>
        <w:trPr>
          <w:trHeight w:val="413" w:hRule="atLeast"/>
        </w:trPr>
        <w:tc>
          <w:tcPr>
            <w:tcW w:w="1920" w:type="dxa"/>
            <w:gridSpan w:val="2"/>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活动名称</w:t>
            </w:r>
          </w:p>
        </w:tc>
        <w:tc>
          <w:tcPr>
            <w:tcW w:w="8704" w:type="dxa"/>
            <w:gridSpan w:val="6"/>
            <w:tcBorders>
              <w:top w:val="nil"/>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2026年田径运动会广告制品及舞台搭建</w:t>
            </w:r>
          </w:p>
        </w:tc>
      </w:tr>
      <w:tr>
        <w:tblPrEx>
          <w:tblLayout w:type="fixed"/>
          <w:tblCellMar>
            <w:top w:w="0" w:type="dxa"/>
            <w:left w:w="0" w:type="dxa"/>
            <w:bottom w:w="0" w:type="dxa"/>
            <w:right w:w="0" w:type="dxa"/>
          </w:tblCellMar>
        </w:tblPrEx>
        <w:trPr>
          <w:trHeight w:val="413"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活动时间</w:t>
            </w:r>
          </w:p>
        </w:tc>
        <w:tc>
          <w:tcPr>
            <w:tcW w:w="8704" w:type="dxa"/>
            <w:gridSpan w:val="6"/>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5.13-5.15</w:t>
            </w:r>
          </w:p>
        </w:tc>
      </w:tr>
      <w:tr>
        <w:tblPrEx>
          <w:tblLayout w:type="fixed"/>
          <w:tblCellMar>
            <w:top w:w="0" w:type="dxa"/>
            <w:left w:w="0" w:type="dxa"/>
            <w:bottom w:w="0" w:type="dxa"/>
            <w:right w:w="0" w:type="dxa"/>
          </w:tblCellMar>
        </w:tblPrEx>
        <w:trPr>
          <w:trHeight w:val="413"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活动地点</w:t>
            </w:r>
          </w:p>
        </w:tc>
        <w:tc>
          <w:tcPr>
            <w:tcW w:w="8704" w:type="dxa"/>
            <w:gridSpan w:val="6"/>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达州职业技术学院望犀校区运动场</w:t>
            </w:r>
          </w:p>
        </w:tc>
      </w:tr>
      <w:tr>
        <w:tblPrEx>
          <w:tblLayout w:type="fixed"/>
          <w:tblCellMar>
            <w:top w:w="0" w:type="dxa"/>
            <w:left w:w="0" w:type="dxa"/>
            <w:bottom w:w="0" w:type="dxa"/>
            <w:right w:w="0" w:type="dxa"/>
          </w:tblCellMar>
        </w:tblPrEx>
        <w:trPr>
          <w:trHeight w:val="413" w:hRule="atLeast"/>
        </w:trPr>
        <w:tc>
          <w:tcPr>
            <w:tcW w:w="10624" w:type="dxa"/>
            <w:gridSpan w:val="8"/>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物料设备</w:t>
            </w:r>
          </w:p>
        </w:tc>
      </w:tr>
      <w:tr>
        <w:tblPrEx>
          <w:tblLayout w:type="fixed"/>
          <w:tblCellMar>
            <w:top w:w="0" w:type="dxa"/>
            <w:left w:w="0" w:type="dxa"/>
            <w:bottom w:w="0" w:type="dxa"/>
            <w:right w:w="0" w:type="dxa"/>
          </w:tblCellMar>
        </w:tblPrEx>
        <w:trPr>
          <w:trHeight w:val="60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内容名称                                           （物料摆放位置、祥细名称）</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摘要                                                                           （规格、材质、尺寸等必要说明）</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数量</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w:t>
            </w: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主席台喷绘</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36.4m宽X8.2m高（包含设计）550喷绘布</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主席台喷绘行架</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36m宽X9m高 铝合金材质</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m</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打卡展示框</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铝合金桁架+超卡板</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校训喷绘</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24.2m宽X4.3m高（包含设计）550喷绘布</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成绩公告贴</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2米X1.2米 超卡板材质</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桌贴</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0.5m*0.35m 车贴</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裁判工作牌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白底蓝字，带校徽 2mmPVC</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彩烟</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牛石烟花 25发组合</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组</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彩虹机</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SHOWVEN CA20</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空飘</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20 </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620"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对讲机</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小米对讲机5W大功率,40mm扬声器，锂电池容量2001-4000mAh，单模，带卡</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6 </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音响</w:t>
            </w: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全频音响</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L-C Audio F5</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低音单元</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L-C Audio F5SUB</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舞台返听音箱</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LA110 双十寸四分频反听   </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640"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音响数字机组</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KONE  8Ω立体声 4×1600W </w:t>
            </w:r>
            <w:r>
              <w:rPr>
                <w:rFonts w:hint="eastAsia" w:ascii="宋体" w:hAnsi="宋体" w:eastAsia="宋体" w:cs="宋体"/>
                <w:i w:val="0"/>
                <w:color w:val="000000"/>
                <w:kern w:val="0"/>
                <w:sz w:val="22"/>
                <w:szCs w:val="22"/>
                <w:u w:val="none"/>
                <w:bdr w:val="none" w:color="auto" w:sz="0" w:space="0"/>
                <w:lang w:val="en-US" w:eastAsia="zh-CN" w:bidi="ar"/>
              </w:rPr>
              <w:br w:type="textWrapping"/>
            </w:r>
            <w:r>
              <w:rPr>
                <w:rFonts w:hint="eastAsia" w:ascii="宋体" w:hAnsi="宋体" w:eastAsia="宋体" w:cs="宋体"/>
                <w:i w:val="0"/>
                <w:color w:val="000000"/>
                <w:kern w:val="0"/>
                <w:sz w:val="22"/>
                <w:szCs w:val="22"/>
                <w:u w:val="none"/>
                <w:bdr w:val="none" w:color="auto" w:sz="0" w:space="0"/>
                <w:lang w:val="en-US" w:eastAsia="zh-CN" w:bidi="ar"/>
              </w:rPr>
              <w:t xml:space="preserve">      4Ω立体声 4×2200W </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数字调音台</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Allen&amp;Heath SQ-7</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台</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手持无线话筒</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PVB P-600</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中置补声</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LC-Audio F2</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套</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电容话筒</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Authority艾卓利CM1</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横幅标语</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10米X0.7米（安装）</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条</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旗帜</w:t>
            </w: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会旗</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192cmX288cm(标准1号旗）设计</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会旗</w:t>
            </w:r>
          </w:p>
        </w:tc>
        <w:tc>
          <w:tcPr>
            <w:tcW w:w="4926"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240cmX160cm（标准2号旗）设计</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校旗</w:t>
            </w:r>
          </w:p>
        </w:tc>
        <w:tc>
          <w:tcPr>
            <w:tcW w:w="4926"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192cmX288cm(标准1号旗）设计</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校旗</w:t>
            </w:r>
          </w:p>
        </w:tc>
        <w:tc>
          <w:tcPr>
            <w:tcW w:w="4926"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240cmX160cm（标准2号旗）设计</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国旗</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192cmX288cm(标准1号旗）</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彩旗</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240cmX160cm（红，黄，蓝，绿各色）</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面</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旗杆</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不锈钢 2米</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根</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引导牌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0.4mX0.6m 超卡板户外背胶</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奖状</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35cm*50cm，木质、镀金材质</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427" w:type="dxa"/>
            <w:vMerge w:val="restart"/>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奖牌</w:t>
            </w: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荣誉证书</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绒面烫金 250mm*178mm</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采购</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直径6cm金属厚度5mm</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枚</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银牌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直径6cm金属厚度5mm</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枚</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427" w:type="dxa"/>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1493"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铜牌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直径6cm金属厚度5mm</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枚</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秩序册</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A4封面200g铜版纸内页70g复印纸</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制作</w:t>
            </w:r>
          </w:p>
        </w:tc>
      </w:tr>
      <w:tr>
        <w:tblPrEx>
          <w:tblLayout w:type="fixed"/>
          <w:tblCellMar>
            <w:top w:w="0" w:type="dxa"/>
            <w:left w:w="0" w:type="dxa"/>
            <w:bottom w:w="0" w:type="dxa"/>
            <w:right w:w="0" w:type="dxa"/>
          </w:tblCellMar>
        </w:tblPrEx>
        <w:trPr>
          <w:trHeight w:val="439" w:hRule="atLeast"/>
        </w:trPr>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看台</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雷亚架舞台 7.2米长X0.4米宽X0.2米高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雷亚架舞台 7.2米长X2.4米宽X0.4米高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雷亚架舞台 7.2米长X1.2米宽X0.6米高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雷亚架舞台 7.2米长X1.2米宽X0.8米高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雷亚架舞台 7.2米长X2.4米宽X1米高</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胶凳子</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个</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地毯</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红色丝绒厚地毯</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运输</w:t>
            </w:r>
          </w:p>
        </w:tc>
        <w:tc>
          <w:tcPr>
            <w:tcW w:w="4926"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4.2米货车</w:t>
            </w:r>
          </w:p>
        </w:tc>
        <w:tc>
          <w:tcPr>
            <w:tcW w:w="72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趟</w:t>
            </w:r>
          </w:p>
        </w:tc>
        <w:tc>
          <w:tcPr>
            <w:tcW w:w="60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02"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c>
          <w:tcPr>
            <w:tcW w:w="889"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租赁</w:t>
            </w:r>
          </w:p>
        </w:tc>
      </w:tr>
      <w:tr>
        <w:tblPrEx>
          <w:tblLayout w:type="fixed"/>
          <w:tblCellMar>
            <w:top w:w="0" w:type="dxa"/>
            <w:left w:w="0" w:type="dxa"/>
            <w:bottom w:w="0" w:type="dxa"/>
            <w:right w:w="0" w:type="dxa"/>
          </w:tblCellMar>
        </w:tblPrEx>
        <w:trPr>
          <w:trHeight w:val="499" w:hRule="atLeast"/>
        </w:trPr>
        <w:tc>
          <w:tcPr>
            <w:tcW w:w="10624" w:type="dxa"/>
            <w:gridSpan w:val="8"/>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0" w:hRule="atLeast"/>
        </w:trPr>
        <w:tc>
          <w:tcPr>
            <w:tcW w:w="9735" w:type="dxa"/>
            <w:gridSpan w:val="7"/>
            <w:vMerge w:val="restart"/>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备注要求:</w:t>
            </w:r>
            <w:r>
              <w:rPr>
                <w:rFonts w:hint="eastAsia" w:ascii="宋体" w:hAnsi="宋体" w:eastAsia="宋体" w:cs="宋体"/>
                <w:b/>
                <w:i w:val="0"/>
                <w:color w:val="000000"/>
                <w:kern w:val="0"/>
                <w:sz w:val="22"/>
                <w:szCs w:val="22"/>
                <w:u w:val="none"/>
                <w:bdr w:val="none" w:color="auto" w:sz="0" w:space="0"/>
                <w:lang w:val="en-US" w:eastAsia="zh-CN" w:bidi="ar"/>
              </w:rPr>
              <w:t>1、</w:t>
            </w:r>
            <w:r>
              <w:rPr>
                <w:rFonts w:hint="eastAsia" w:ascii="宋体" w:hAnsi="宋体" w:eastAsia="宋体" w:cs="宋体"/>
                <w:i w:val="0"/>
                <w:color w:val="000000"/>
                <w:kern w:val="0"/>
                <w:sz w:val="22"/>
                <w:szCs w:val="22"/>
                <w:u w:val="none"/>
                <w:bdr w:val="none" w:color="auto" w:sz="0" w:space="0"/>
                <w:lang w:val="en-US" w:eastAsia="zh-CN" w:bidi="ar"/>
              </w:rPr>
              <w:t>承接方中标当日提供各种喷绘及秩序册封面、奖牌等设计图案及宣传标语内容；</w:t>
            </w:r>
            <w:r>
              <w:rPr>
                <w:rFonts w:hint="eastAsia" w:ascii="宋体" w:hAnsi="宋体" w:eastAsia="宋体" w:cs="宋体"/>
                <w:b/>
                <w:i w:val="0"/>
                <w:color w:val="000000"/>
                <w:kern w:val="0"/>
                <w:sz w:val="22"/>
                <w:szCs w:val="22"/>
                <w:u w:val="none"/>
                <w:bdr w:val="none" w:color="auto" w:sz="0" w:space="0"/>
                <w:lang w:val="en-US" w:eastAsia="zh-CN" w:bidi="ar"/>
              </w:rPr>
              <w:t>2</w:t>
            </w:r>
            <w:r>
              <w:rPr>
                <w:rFonts w:hint="eastAsia" w:ascii="宋体" w:hAnsi="宋体" w:eastAsia="宋体" w:cs="宋体"/>
                <w:i w:val="0"/>
                <w:color w:val="000000"/>
                <w:kern w:val="0"/>
                <w:sz w:val="22"/>
                <w:szCs w:val="22"/>
                <w:u w:val="none"/>
                <w:bdr w:val="none" w:color="auto" w:sz="0" w:space="0"/>
                <w:lang w:val="en-US" w:eastAsia="zh-CN" w:bidi="ar"/>
              </w:rPr>
              <w:t>、5月11日会场布置，5月13日正式开始；</w:t>
            </w:r>
            <w:r>
              <w:rPr>
                <w:rFonts w:hint="eastAsia" w:ascii="宋体" w:hAnsi="宋体" w:eastAsia="宋体" w:cs="宋体"/>
                <w:b/>
                <w:i w:val="0"/>
                <w:color w:val="000000"/>
                <w:kern w:val="0"/>
                <w:sz w:val="22"/>
                <w:szCs w:val="22"/>
                <w:u w:val="none"/>
                <w:bdr w:val="none" w:color="auto" w:sz="0" w:space="0"/>
                <w:lang w:val="en-US" w:eastAsia="zh-CN" w:bidi="ar"/>
              </w:rPr>
              <w:t>3、</w:t>
            </w:r>
            <w:r>
              <w:rPr>
                <w:rFonts w:hint="eastAsia" w:ascii="宋体" w:hAnsi="宋体" w:eastAsia="宋体" w:cs="宋体"/>
                <w:i w:val="0"/>
                <w:color w:val="000000"/>
                <w:kern w:val="0"/>
                <w:sz w:val="22"/>
                <w:szCs w:val="22"/>
                <w:u w:val="none"/>
                <w:bdr w:val="none" w:color="auto" w:sz="0" w:space="0"/>
                <w:lang w:val="en-US" w:eastAsia="zh-CN" w:bidi="ar"/>
              </w:rPr>
              <w:t>承接方必须派专人负责彩烟、音响等工作</w:t>
            </w:r>
          </w:p>
        </w:tc>
        <w:tc>
          <w:tcPr>
            <w:tcW w:w="889" w:type="dxa"/>
            <w:tcBorders>
              <w:top w:val="nil"/>
              <w:left w:val="nil"/>
              <w:bottom w:val="nil"/>
              <w:right w:val="nil"/>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0" w:hRule="atLeast"/>
        </w:trPr>
        <w:tc>
          <w:tcPr>
            <w:tcW w:w="9735" w:type="dxa"/>
            <w:gridSpan w:val="7"/>
            <w:vMerge w:val="continue"/>
            <w:tcBorders>
              <w:top w:val="nil"/>
              <w:left w:val="nil"/>
              <w:bottom w:val="nil"/>
              <w:right w:val="nil"/>
            </w:tcBorders>
            <w:shd w:val="clear"/>
            <w:tcMar>
              <w:top w:w="10" w:type="dxa"/>
              <w:left w:w="10" w:type="dxa"/>
              <w:right w:w="10" w:type="dxa"/>
            </w:tcMar>
            <w:vAlign w:val="center"/>
          </w:tcPr>
          <w:p>
            <w:pPr>
              <w:jc w:val="left"/>
              <w:rPr>
                <w:rFonts w:hint="eastAsia" w:ascii="宋体" w:hAnsi="宋体" w:eastAsia="宋体" w:cs="宋体"/>
                <w:i w:val="0"/>
                <w:color w:val="000000"/>
                <w:sz w:val="22"/>
                <w:szCs w:val="22"/>
                <w:u w:val="none"/>
              </w:rPr>
            </w:pPr>
          </w:p>
        </w:tc>
        <w:tc>
          <w:tcPr>
            <w:tcW w:w="889" w:type="dxa"/>
            <w:tcBorders>
              <w:top w:val="nil"/>
              <w:left w:val="nil"/>
              <w:bottom w:val="nil"/>
              <w:right w:val="nil"/>
            </w:tcBorders>
            <w:shd w:val="clear"/>
            <w:noWrap/>
            <w:tcMar>
              <w:top w:w="10" w:type="dxa"/>
              <w:left w:w="10" w:type="dxa"/>
              <w:right w:w="10" w:type="dxa"/>
            </w:tcMar>
            <w:vAlign w:val="center"/>
          </w:tcPr>
          <w:p>
            <w:pPr>
              <w:jc w:val="center"/>
              <w:rPr>
                <w:rFonts w:hint="eastAsia" w:ascii="宋体" w:hAnsi="宋体" w:eastAsia="宋体" w:cs="宋体"/>
                <w:i w:val="0"/>
                <w:color w:val="000000"/>
                <w:sz w:val="22"/>
                <w:szCs w:val="22"/>
                <w:u w:val="none"/>
              </w:rPr>
            </w:pP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3A7F01"/>
    <w:rsid w:val="06A27B74"/>
    <w:rsid w:val="07466AC9"/>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42323C"/>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0072EC"/>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8D7469"/>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AE2F6C"/>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6</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2026-04-23T01:26:19Z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