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2026年智能制造学院实验实训耗材及相关服务</w:t>
      </w:r>
      <w:r>
        <w:rPr>
          <w:rFonts w:hint="default" w:asciiTheme="majorEastAsia" w:hAnsiTheme="majorEastAsia" w:eastAsiaTheme="majorEastAsia" w:cstheme="majorEastAsia"/>
          <w:b/>
          <w:bCs/>
          <w:color w:val="333333"/>
          <w:sz w:val="32"/>
          <w:szCs w:val="32"/>
          <w:lang w:val="en-US" w:eastAsia="zh-CN"/>
        </w:rPr>
        <w:t>”</w:t>
      </w:r>
    </w:p>
    <w:p>
      <w:pPr>
        <w:jc w:val="center"/>
        <w:rPr>
          <w:rFonts w:hint="eastAsia" w:asciiTheme="majorEastAsia" w:hAnsiTheme="majorEastAsia" w:eastAsiaTheme="majorEastAsia" w:cstheme="majorEastAsia"/>
          <w:b/>
          <w:bCs/>
          <w:sz w:val="32"/>
          <w:szCs w:val="32"/>
        </w:rPr>
      </w:pP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9</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24</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2026年智能制造学院实验实训耗材及相关服务</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xml:space="preserve">　     </w:t>
      </w: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p>
      <w:pPr>
        <w:jc w:val="center"/>
        <w:rPr>
          <w:rFonts w:hint="eastAsia" w:ascii="黑体" w:hAnsi="黑体" w:eastAsia="黑体" w:cs="Times New Roman"/>
          <w:sz w:val="36"/>
          <w:szCs w:val="36"/>
        </w:rPr>
      </w:pPr>
      <w:r>
        <w:rPr>
          <w:rFonts w:hint="eastAsia" w:ascii="黑体" w:hAnsi="黑体" w:eastAsia="黑体" w:cs="Times New Roman"/>
          <w:sz w:val="36"/>
          <w:szCs w:val="36"/>
        </w:rPr>
        <w:t>2026年智能制造学院实验实训耗材及相关服务采购</w:t>
      </w:r>
    </w:p>
    <w:p>
      <w:pPr>
        <w:jc w:val="center"/>
        <w:rPr>
          <w:rFonts w:ascii="黑体" w:hAnsi="黑体" w:eastAsia="黑体" w:cs="Times New Roman"/>
          <w:sz w:val="36"/>
          <w:szCs w:val="36"/>
        </w:rPr>
      </w:pPr>
      <w:r>
        <w:rPr>
          <w:rFonts w:hint="eastAsia" w:ascii="黑体" w:hAnsi="黑体" w:eastAsia="黑体" w:cs="Times New Roman"/>
          <w:sz w:val="36"/>
          <w:szCs w:val="36"/>
        </w:rPr>
        <w:t>参数及要求</w:t>
      </w:r>
    </w:p>
    <w:tbl>
      <w:tblPr>
        <w:tblStyle w:val="34"/>
        <w:tblW w:w="10243" w:type="dxa"/>
        <w:jc w:val="center"/>
        <w:tblInd w:w="-94" w:type="dxa"/>
        <w:tblLayout w:type="fixed"/>
        <w:tblCellMar>
          <w:top w:w="0" w:type="dxa"/>
          <w:left w:w="108" w:type="dxa"/>
          <w:bottom w:w="0" w:type="dxa"/>
          <w:right w:w="108" w:type="dxa"/>
        </w:tblCellMar>
      </w:tblPr>
      <w:tblGrid>
        <w:gridCol w:w="650"/>
        <w:gridCol w:w="1162"/>
        <w:gridCol w:w="671"/>
        <w:gridCol w:w="675"/>
        <w:gridCol w:w="5022"/>
        <w:gridCol w:w="640"/>
        <w:gridCol w:w="700"/>
        <w:gridCol w:w="723"/>
      </w:tblGrid>
      <w:tr>
        <w:tblPrEx>
          <w:tblLayout w:type="fixed"/>
          <w:tblCellMar>
            <w:top w:w="0" w:type="dxa"/>
            <w:left w:w="108" w:type="dxa"/>
            <w:bottom w:w="0" w:type="dxa"/>
            <w:right w:w="108" w:type="dxa"/>
          </w:tblCellMar>
        </w:tblPrEx>
        <w:trPr>
          <w:trHeight w:val="854" w:hRule="atLeast"/>
          <w:jc w:val="center"/>
        </w:trPr>
        <w:tc>
          <w:tcPr>
            <w:tcW w:w="10243" w:type="dxa"/>
            <w:gridSpan w:val="8"/>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b/>
                <w:kern w:val="0"/>
                <w:sz w:val="28"/>
                <w:szCs w:val="28"/>
              </w:rPr>
              <w:t>技术参</w:t>
            </w:r>
            <w:r>
              <w:rPr>
                <w:rFonts w:hint="eastAsia" w:ascii="宋体" w:hAnsi="宋体" w:eastAsia="宋体" w:cs="宋体"/>
                <w:b/>
                <w:kern w:val="0"/>
                <w:sz w:val="28"/>
                <w:szCs w:val="28"/>
                <w:lang w:eastAsia="zh-CN"/>
              </w:rPr>
              <w:t>数</w:t>
            </w:r>
            <w:r>
              <w:rPr>
                <w:rFonts w:hint="eastAsia" w:ascii="宋体" w:hAnsi="宋体" w:eastAsia="宋体" w:cs="宋体"/>
                <w:b/>
                <w:kern w:val="0"/>
                <w:sz w:val="28"/>
                <w:szCs w:val="28"/>
              </w:rPr>
              <w:t>要求</w:t>
            </w: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序号</w:t>
            </w:r>
          </w:p>
        </w:tc>
        <w:tc>
          <w:tcPr>
            <w:tcW w:w="11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品名</w:t>
            </w:r>
          </w:p>
        </w:tc>
        <w:tc>
          <w:tcPr>
            <w:tcW w:w="6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数量</w:t>
            </w:r>
          </w:p>
        </w:tc>
        <w:tc>
          <w:tcPr>
            <w:tcW w:w="6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单位</w:t>
            </w:r>
          </w:p>
        </w:tc>
        <w:tc>
          <w:tcPr>
            <w:tcW w:w="502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技术要求</w:t>
            </w:r>
          </w:p>
        </w:tc>
        <w:tc>
          <w:tcPr>
            <w:tcW w:w="6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单价</w:t>
            </w:r>
          </w:p>
        </w:tc>
        <w:tc>
          <w:tcPr>
            <w:tcW w:w="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总价</w:t>
            </w: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备注</w:t>
            </w: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BLV2.5平方黄，100米/圈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72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BLV2.5平方红，100米/圈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bookmarkStart w:id="0" w:name="_GoBack"/>
            <w:bookmarkEnd w:id="0"/>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BLV2.5平方黑，100米/圈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PLC编程电缆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USB转PPI s7-200CN专用 免驱动 支持PLC上传下载（设备专用线缆）</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PLC转以太网TCP线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2P桥接 支持S7-300/200/200smart 支持国产昆仑通泰、台达、步科等型号PLC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10进10出 直插式 面板导轨安装两用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2组1进6出 直插式 面板导轨安装两用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直流接触器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直流DC24V控制交流接触器 额定电流9A 两常开两常闭</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尼龙扎带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高强度尼龙扎带塑料捆束绑札轧带收拉紧器扎线固定不锈钢黑色 白色4*200mm宽2.7 500根</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光纤传感器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光纤放大器远近距离漫反射对射高速光纤传感器 配放大器 配M4金属反射光纤</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电感式接近开关传感器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M30 埋入式感应10mm NPN常开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红外线感应光电开关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接近漫反射式传感器NPN常开三线M18 工作电压6-36v 检测距离10-30cm可调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7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I/O扩展模块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支持S7-200CN 晶体管输出 16路入16出</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换向阀组气阀开关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带线二位五通电磁阀  双位置单电控 4V-210-08 直流24V 带插8mm的接头消声器 插8mm气管接头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视觉识别模块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1.6GHZ AI视觉处理帧率85FPS 算力6TOPS 带3.5寸触摸屏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电机驱动芯片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单通道H桥电机驱动器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宽电压供电，5.5V-36V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低RDS(ON)电阻，200mΩ（HS+LS）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6A峰值驱动输出，4A连续驱动输出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PWM控制接口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支持低功耗休眠模式。贴片ESOP8</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电工测断线漏电智能数显感应电笔新款专用验试 3-500V电压可测 线性量程 感应探测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黄色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香蕉插头转鳄鱼夹带线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 1.6平方1米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107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香蕉插头转鳄鱼夹带线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 1.6平方1米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4MM香蕉插头硅胶线 安全护套导线可叠插测试线 长50CM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75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4MM香蕉插头硅胶线 安全护套导线可叠插测试线 长50CM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9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时间继电器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DC24V 设定方式：电位器 工作方式：通电延时 0.05S-3min 底座和导轨一体</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MCU屏</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4.3寸TFT LCD模块电容触摸液晶显示屏  带FPC排线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零件收纳盒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1、4合一拼接 48格小号橙色抽屉零件箱。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2、材质：采用PE材质一次注塑成型。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3、PE原材料需满足以下技术要求：依据GB/T 1633-2000检测标准，检测项目至少包含“维卡软化温度”，检测结论“符合”。依据GB/T 1843-2008检测标准，检测项目至少包含“悬臂梁缺口冲击强度”，检测结论“符合”。依据GB/T 9345.1-2008检测标准，检测项目至少包含“灰分”，检测结论“符合”。依据GB/T 2411-2008检测标准，检测项目至少包含“邵氏硬度”，检测结论“符合”。依据GB/T 3682.1-2018检测标准，检测项目至少包含“熔体质量流动速率”，检测结论“符合”。依据GB/T 1043.1-2008检测标准，检测项目至少包含“简支梁缺口冲击”，检测结论“符合”。响应文件中提供第三方检测机构出具的PE原材料检测报告复印件加盖供应商公章，且报告中须反应达到或优于此项技术指标。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零件收纳盒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1、4合一拼接 32格大号橙色抽屉零件箱。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2、材质：采用PE材质一次注塑成型。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3、PE原材料需满足以下技术要求：依据GB/T 1633-2000检测标准，检测项目至少包含“维卡软化温度”，检测结论“符合”。依据GB/T 1843-2008检测标准，检测项目至少包含“悬臂梁缺口冲击强度”，检测结论“符合”。依据GB/T 9345.1-2008检测标准，检测项目至少包含“灰分”，检测结论“符合”。依据GB/T 2411-2008检测标准，检测项目至少包含“邵氏硬度”，检测结论“符合”。依据GB/T 3682.1-2018检测标准，检测项目至少包含“熔体质量流动速率”，检测结论“符合”。依据GB/T 1043.1-2008检测标准，检测项目至少包含“简支梁缺口冲击”，检测结论“符合”。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单双电源模块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单电源转双电源 </w:t>
            </w:r>
            <w:r>
              <w:rPr>
                <w:rFonts w:ascii="Calibri" w:hAnsi="Calibri" w:eastAsia="宋体" w:cs="Calibri"/>
                <w:color w:val="00000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5V</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可调直流稳压电源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0-30V 0-10A 300W 三位数显（粗调细调）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数字号码牌</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1~60号，PVC,亚克,10*10mm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数字号码牌</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1~20号，PVC,亚克，10*10mm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2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气动PU气管软管空压机气泵高压管 200米4*2.5mm耐压12kg橙色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5"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伺服驱动器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国产伺服驱动器能支持指令方式：Profinet 总线、脉冲（可选） 总线 额定功率：0.4kW，输入电压：单相 / 三相 AC 220V ±10%，50/60Hz，控制模式：位置控制、速度控制、转矩控制 。配伺服电机低惯量伺服电机，三相 AC 220V，低惯量（H4），适合高频响、快速启停，400W 不带刹车，含动力线和编码线以及电池盒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profinet远程io模块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2路脉冲控制和数字量16入4出</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36</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款紧凑型 PLC，具备 14 点 24V DC 数字输入、10 点晶体管（DC）数字输出（0.5A）、2 路模拟量输入（0–10V DC）、2 路模拟量输出（0–20mA DC），供电为 20.4–28.8V DC，集成 2个PROFINET 端口，工作内存 200 KB，装载储存器4MB，保持性储存器14kb,直流 24V 供电 / 直流（晶体管）输入 / 直流（晶体管）输出 — ‌不支持继电器类大负载，但可实现高速脉冲输出（PWM/HSC）‌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37</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模拟量输出模块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4路模拟量输出，电压/电流可选，供电：DC24V（20.4～28.8 V），24V 典型电流：45 mA，背板总线 5V 典型电流：80 mA，典型功耗：1.5 W，电压输出范围：±10 V DC，分辨率：14 位（含符号）最小负载电阻：≥1 k</w:t>
            </w:r>
            <w:r>
              <w:rPr>
                <w:rFonts w:hint="default" w:ascii="Calibri" w:hAnsi="Calibri" w:eastAsia="宋体" w:cs="Calibri"/>
                <w:i w:val="0"/>
                <w:iCs w:val="0"/>
                <w:color w:val="000000"/>
                <w:kern w:val="0"/>
                <w:sz w:val="22"/>
                <w:szCs w:val="22"/>
                <w:u w:val="none"/>
                <w:lang w:val="en-US" w:eastAsia="zh-CN" w:bidi="ar"/>
              </w:rPr>
              <w:t>Ω</w:t>
            </w:r>
            <w:r>
              <w:rPr>
                <w:rFonts w:hint="eastAsia" w:ascii="宋体" w:hAnsi="宋体" w:eastAsia="宋体" w:cs="宋体"/>
                <w:i w:val="0"/>
                <w:iCs w:val="0"/>
                <w:color w:val="000000"/>
                <w:kern w:val="0"/>
                <w:sz w:val="22"/>
                <w:szCs w:val="22"/>
                <w:u w:val="none"/>
                <w:lang w:val="en-US" w:eastAsia="zh-CN" w:bidi="ar"/>
              </w:rPr>
              <w:t xml:space="preserve">，电流输出，范围：0～20 mA、4～20 mA，分辨率：13 位，最大负载电阻：≤ 600 </w:t>
            </w:r>
            <w:r>
              <w:rPr>
                <w:rFonts w:hint="default" w:ascii="Calibri" w:hAnsi="Calibri" w:eastAsia="宋体" w:cs="Calibri"/>
                <w:i w:val="0"/>
                <w:iCs w:val="0"/>
                <w:color w:val="000000"/>
                <w:kern w:val="0"/>
                <w:sz w:val="22"/>
                <w:szCs w:val="22"/>
                <w:u w:val="none"/>
                <w:lang w:val="en-US" w:eastAsia="zh-CN" w:bidi="ar"/>
              </w:rPr>
              <w:t>Ω</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E1508插针式管型1.5mm 接线端子铜鼻针形，红色5包 黄色5包 黑色5包 蓝色5包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欧式VE2510针型冷压端子 E2510插针式管型2.5mm 接线端子铜鼻针形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1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绿色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螺丝家用套装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圆头十字螺丝螺母垫片机丝钉螺栓螺钉M3M4M5M6A套餐 24格24种规格900克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LAY7-11D红色一开一闭自复位带灯按钮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LAY7-11D黄色一开一闭自复位带灯按钮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LAY7-11D绿色一开一闭自复位带灯按钮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LAY7-11D黄色一开一闭自复位带灯按钮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PLC输入输出调试模块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PLC测试板 16通道输入输出调试模块 兼容NPN/PNP 按键板配杜邦线  升级款贴片双色LED</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RS485通讯线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RS485通讯线 9针镀镍公头【3:485+，8:485-】2米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PLC串口头9针</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B9免焊接头PLC串口头9针RS232/485公头母头9P接线端子COM口阻燃，卡扣免焊黑胶公头+（螺杆）【M9001】配尾套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PLC串口头9针</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B9免焊接头PLC串口头9针RS232/485公头母头9P接线端子COM口阻燃，卡扣免焊黑胶母头+（螺杆）【M9002】配尾套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可调直流稳压电源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0-30V 0-10A 300W 三位数显（粗调细调）编码器调节 </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丝杆升降机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1T基本型 绿色 蓝色  蜗轮蜗杆螺杆螺母电动手摇小型减速机4联动平台 布局形式：同轴式，齿面硬度：软齿面，级数：1级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毛刷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8ˊ（寸）</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8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锯床锯条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350*32mm（正齿或交错齿）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剧弓</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7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圆形板牙绞手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圆形板牙绞手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手用绞刀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Φ10H7</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高度尺合金划线爪</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0-300mm（配成量或哈量）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扁錾</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10mm刃口</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电胶布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PVC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90°可转位外圆刀片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170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普车刀片 T31605F（产品规格），钨钢，涂层黄色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45°机夹车刀配用刀片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41605F（4刃）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Φ12（含钴）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Φ9.8（含钴）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Φ8（含钴）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Φ10.3（含钴）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内六角无头螺钉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kg</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M8</w:t>
            </w:r>
            <w:r>
              <w:rPr>
                <w:rFonts w:hint="eastAsia" w:ascii="宋体" w:hAnsi="宋体" w:eastAsia="宋体" w:cs="宋体"/>
                <w:color w:val="000000"/>
                <w:sz w:val="24"/>
                <w:szCs w:val="24"/>
                <w:u w:val="none"/>
                <w:lang w:val="en-US" w:eastAsia="zh-CN" w:bidi="ar"/>
              </w:rPr>
              <w:t>×12（平端）304不锈钢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梅花螺钉(全牙)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kg</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12.9级、M5×12</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60度平底钨钢铣刀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D16×D16×100L×4F</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6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光电发声寻边器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柄径20mm（发光、发声）</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光电发声寻边器电池</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1.5V、8号 LR1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游标卡尺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0-150mm（成量或哈量）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柔性钢锯条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箱</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≥300*12*0.6   24牙细齿  1000支/箱</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90°含钻直柄锪钻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Φ18*10D三刃（含钻）</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粗平锉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12寸（300mm）5把/盒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细平锉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12寸（300mm）5把/盒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细方锉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8寸（200mm）5把/盒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什锦锉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直径4×长160    10件套（扁锉、方锉、三角锉、圆锉、半圆锉、菱形锉、刀形锉、单面三角锉、椭圆锉 、锥形圆锉）</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Φ25×3000mm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Φ30×3000mm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Φ45×3000mm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0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Q235 Φ30×3000mm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8-10mm开口双头，表面精抛镀铬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10-12mm开口双头，表面精抛镀铬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8-10mm开口双头 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10-12mm开口双头 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9-11mm开口双头，表面精抛镀铬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铜榔头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防爆*紫铜（纯铜）八角锤3P(磅)/1.4kg  总长375mm，榔头直径40mm，榔头长度87mm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皮尺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工程测量桔色 【防滑款】纤维尺  50米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皮尺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工程测量桔色 【防滑款】纤维尺  100米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105*50*20mm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两爪拉马4寸/100mm（开口范围18-50mm)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两爪拉马6寸/150mm（开口范围20-85mm)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4寸，三爪拉马 加强拉脚不易断，最大开口直径100mm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6寸，三爪拉马 加强拉脚不易断，最大开口直径150mm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环保焊锡膏 </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松香 助焊剂 焊接辅料   100g/盒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急停按钮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LA42J-21/R</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行程开关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JLXK1-311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行程开关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JW2A-11H/L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润滑油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机械专用、抗磨液压油68号 18L/桶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切削液</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切削液 兑水绿色，防锈、防臭，克特1538，18L/桶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断路器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断路器NXBE-32A-1P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不锈钢编织软管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304不锈钢编织高压管，4分内外丝连接软管，长2.5米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100*100*50mm，7075</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80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机器人快换装置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1、材质:本体为超硬铝制，装卸部为模具钢制。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2、可搬重量:0~20kg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3、适用于多关节机器人的快速交换夹具（设备配件：KS-01）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扎带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全新尼龙，白色8*350mm(250根/包）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内六角扳手套装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09110/【平头】加长10件2mm-10mm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梅花内六角扳手套装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09715/【球状花型】加长9件T10mm-T50mm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家电工具套装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6"短柄活扳手*6"钢丝钳* 8oz羊角锤*螺丝批手柄*锤头塑料帽*25mm批头 一字:4、5、6 十字:PH1、PH2、PH3米字:PZ1、PZ2、PZ3六角:H4、H5、H6*塑盒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气动PU气管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6*4mm白色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中规中文，插电款；1.75mm线径，笔尖孔径0.7mm，颜色：蓝</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插线板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总控，孔位数(位)：8位，插孔数：28孔，线长：5M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透明工具盒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16.3*12.7*6cm，材质：PP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透明工具盒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25*19*10cm，材质：PP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尺寸：52*38.5*32；材质：PP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电烙铁套装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电烙铁*1；海绵*1，焊锡丝*1；烙铁头*5；烙铁架*1；松香*1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M2螺丝套装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共50颗：2*3、2*4、2*5、2*6、2*8、2*10、2*12、2*16、2*20、2*25（mm）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共200颗：2mm平垫、M2螺帽</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螺丝螺母垫片套装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M3*6(40个)M3*10(30个)M3*14(30个)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M3*20(30个)M4*10(20个)M4*20(10个)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M4*25(10个)M4*30(10个)M5*10(10个)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M5*20(10个)M5*30(5个)M5*40(5个)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M6*10(10个)M6*20(5个)  M6*30(5个)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M6*40(5个)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螺母规格：M3(55个)M4(50个)M5(50个)M6(25个)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垫片规格：M3(55个)M4(50个)M5(50个)M</w:t>
            </w:r>
            <w:r>
              <w:rPr>
                <w:rFonts w:hint="default" w:ascii="Times New Roman" w:hAnsi="Times New Roman" w:eastAsia="宋体" w:cs="Times New Roman"/>
                <w:i w:val="0"/>
                <w:iCs w:val="0"/>
                <w:color w:val="000000"/>
                <w:kern w:val="0"/>
                <w:sz w:val="24"/>
                <w:szCs w:val="24"/>
                <w:u w:val="none"/>
                <w:lang w:val="en-US" w:eastAsia="zh-CN" w:bidi="ar"/>
              </w:rPr>
              <w:t>⁶</w:t>
            </w:r>
            <w:r>
              <w:rPr>
                <w:rFonts w:hint="eastAsia" w:ascii="宋体" w:hAnsi="宋体" w:eastAsia="宋体" w:cs="宋体"/>
                <w:i w:val="0"/>
                <w:iCs w:val="0"/>
                <w:color w:val="000000"/>
                <w:kern w:val="0"/>
                <w:sz w:val="24"/>
                <w:szCs w:val="24"/>
                <w:u w:val="none"/>
                <w:lang w:val="en-US" w:eastAsia="zh-CN" w:bidi="ar"/>
              </w:rPr>
              <w:t>(50个)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航模无人机组装套件</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马达*1；螺旋桨*6，电池盒*1；主体外壳*1；电线*1；主板*2，电池*1；空心杯电机*2；螺丝螺母螺栓套件*8；旋钮外壳*2</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数字舵机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PD-15S（送塑料配件），重量：15kg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STM32舵机控制板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STM32核心板+多功能拓展版：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1.STM32核心板：主控芯片:STM32F103C6T6;模块尺寸:20*40mm;电源输入：4.5-5.5v；USB接口；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2.多功能拓展版:外形尺寸：70*49mm；孔位尺寸：63*42mm;总线、传感器、PWM舵机接口：6路；支持脱机运行</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小圆旋转云台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尺寸：80*8062mm;重量：214.5g;旋转角度：270°；工作电压：5-8.4v；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包含配件：大圆环*2；小圆盘*2；大圆盘*1；金属轴承*1；金属主舵盘*1；螺丝铜柱包*1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电机套装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一套包含10个电机；130W微型电动马达；单个电机重量：13g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电子线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线号：30AWG；线径规格：7/0.10TS； 15m/卷；颜色：红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电子线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线号：30AWG；线径规格：7/0.10TS； 15m/卷；颜色：黑；</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开关套装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一套包含10个电源开关，型号：KCD1-101（2档）；带线：15cm;0.75平方纯铜线；颜色：红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502胶水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净含量：15g;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TF储存卡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容量：8G；读速130MB/s</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读卡器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C286，接口：USB2.0；支持TF卡读取</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绝缘胶带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长度：9M；产品颜色：黑；电压等级：≤600V,温度等级：0°-80℃</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3D打印灯配件</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光源：LED灯珠；颜色：常规三色(白色+暖光+中性光);功率：4W；调光调色定时；USB线：1.5m；直径：59mm;厚度：8mm;开关方式：线控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斜口钳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开口6.5mm；手柄材质：PVC；重量：56g;刃口材质：65#高碳钢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1.75mm，颜色：黄色（无料盘）拓竹（设备匹配耗材）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1.75mm，颜色：红色（无料盘）拓竹（设备匹配耗材）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1.75mm，颜色：绿色（无料盘）拓竹（设备匹配耗材）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1.75mm，颜色：蓝色（无料盘）拓竹（设备匹配耗材）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1.75mm，颜色：灰色（无料盘）拓竹（设备匹配耗材）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1.76mm，颜色：白色（无料盘）拓竹（设备匹配耗材）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3D打印机热床固体胶水棒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包装重量: 50g，特性：水溶性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防护生化服套装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18"/>
                <w:szCs w:val="18"/>
                <w:u w:val="none"/>
                <w:lang w:val="en-US" w:eastAsia="zh-CN" w:bidi="ar"/>
              </w:rPr>
              <w:t>【升级款】防护服+防毒面罩+护目镜+手套+防护鞋套，L型号15套，XL型号5套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一次性丁腈手套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耐用、纯丁腈、黑色、每盒50只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200*200*30mm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150*150*20mm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40*40*60mm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拉伸试样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Q235低碳钢标准拉伸试样 D=9mm，d=6mm，GBT228.1-2021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正压式空气呼吸器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外形尺寸：700*300*450  正压式呼吸器钢瓶(含箱)</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长管呼吸器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10米单人电动送风</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长64宽44高40cm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长35宽23高17.5cm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工业拉伸保鲜膜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宽30cm【150mm/卷】2丝小箱【塑料管芯】</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玻璃胶头滴管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100mm胶头滴管 10支</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156</w:t>
            </w:r>
          </w:p>
        </w:tc>
        <w:tc>
          <w:tcPr>
            <w:tcW w:w="1162"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7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7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5022"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手动切割锯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锰钢锯，锯-410mm，三面磨齿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真空泵</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真空泵1L，真空导入导流VIP工艺耗材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树脂收集器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不锈钢树脂收集器（带真空表），缓冲罐负压罐密封罐，真空导入VIP工艺设备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抽真空塑料管树脂导流管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管外8mm内径5mm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抽真空工艺注胶座止回阀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1个注胶座1个止回阀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碳纤维玻璃钢复合材料真空导气管导流管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螺旋管6mm真空导入</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真空导入RTM工艺编织型导流网</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增加树脂流速，2平米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复合材料真空导流导入隔离脱模布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1米*10米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真空导流预浸料工艺真空薄膜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耐温160度以上</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复合材料真空工艺真空玻璃密封条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常温胶条</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无碱表面毡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30克玻璃纤维薄毡玻1平米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环氧胶衣模具胶衣树脂及配套固化剂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500克树脂+150克固化剂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无碱玻璃纤维毡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玻璃钢翻模填补缝隙腻子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环氧树脂及配套固化剂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3公斤树脂加750克固化剂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玻璃钢专用毛刷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2寸（毛长4cm）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RTM/FRP真空袋膜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2平米（宽2米，长1米）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一次性手套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带</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耐用型【食品用】白色丁腈手套【1袋共100只】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电磨机小型手持打磨机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【精美盒装】五档调速数显款（旗舰高配）</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塑料模具PVA脱模剂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PVA水性脱模剂 （样品100-200克）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钢化玻璃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1000*700*8mm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玄武岩纤维布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普通款330g/㎡ 总长一米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剪刀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长度≥138mm，不锈钢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火花塞</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2021-2025款吉利星瑞2.0T 铂铱金（汽车配件，）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汽车测电笔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轻松查找故障】大号电笔+数显【3v-48v】</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排气背压表+真空压力表二合一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管子3根，接头8个，电子正负压力表1个（ 标配）</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气缸压力表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包含：PE塑料盒、气缸压力表、锥形接头、延长管、气管、转换接头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内窥镜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NTS500，直径7.66mm，1米长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启动电源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磷酸铁锂电池，12V，15001MAh(含)-20000MAh(含)，3C认证</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燃油压力表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0-140psi 90mm双刻度表头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强光手电</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ABS+铝合金、射程200-500米、最大功率9W、长12.1≥cm、重≥99g、防护等级IP68</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方向盘座椅防尘套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黑色 座椅套 方向盘 档把 脚垫 （非一次性）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0度2L疏水型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胎纹深度尺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ABS、金属探针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汽车用机油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0W-20（全合成），极护   4L/桶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汽车用机油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0W-40（全合成），极护   4L/桶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变速箱油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DCT-湿式双离合（7速变速箱油每瓶1L）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防冻液</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0度绿色水箱宝9kg10升 </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车用蓄电池</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70Ah  6-QW-70（600）-L 支持启停 12V电压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冰点检测仪</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糖度范围0-32%、ATC温度补偿、铝合金机芯、长170mm、宽27mm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刹车片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吉利星瑞2020-2025 2.0T（汽车配件）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空调滤芯+空气滤芯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吉利星瑞2020-2025 2.0T（汽车配件）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平衡块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3M胶 5g装 50条/盒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绝缘手套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试验电压12kv 使用电压3kv 适用380V工厂用电</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汽车防护膜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500mm宽，1000mm长（TPU材质）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轮胎数显胎压表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0.35-7Bar胎压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低碳钢板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1、规格：≥1mm厚，2000mm长，1000mm宽。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2、冷轧钢板原材料需满足以下技术要求：（1）、冷轧钢板通过依据GB/T1740-2007《漆膜耐湿热测定法》测试，检测项目包含耐湿热性，结果至少10h无异常。（2）、冷轧钢板通过依据GB/T230.1-2018《金属材料 洛氏硬度试验 第1部分:试验方法》检测，洛氏硬度(HRA)检测结果不小于34。响应文件中提供第三方检测机构出具的冷轧钢板原材料检测报告复印件加盖供应商公章，且报告中须反应达到或优于以上（1）～（2）项技术指标。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调漆秤</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LCD调漆秤。具备过载保护，秤面宽度≥20cm，量程1千克。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白色水性漆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由树脂、有机溶剂、颜料、水组成。可溶于水，闪点：＞70℃（闭杯），voc含量：＜420g/L。</w:t>
            </w:r>
            <w:r>
              <w:rPr>
                <w:rFonts w:ascii="仿宋" w:hAnsi="仿宋" w:eastAsia="仿宋" w:cs="仿宋"/>
                <w:i w:val="0"/>
                <w:iCs w:val="0"/>
                <w:color w:val="000000"/>
                <w:kern w:val="0"/>
                <w:sz w:val="24"/>
                <w:szCs w:val="24"/>
                <w:u w:val="none"/>
                <w:lang w:val="en-US" w:eastAsia="zh-CN" w:bidi="ar"/>
              </w:rPr>
              <w:t>颜色：白色。容量：1L。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黑色水性漆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颜色：黑色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紫色水性漆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颜色：紫色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3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蓝色水性漆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颜色：蓝色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绿色水性漆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由树脂、有机溶剂、颜料、水组成。可溶于水，闪点：＞70℃（闭杯），voc含量：＜420g/L。颜色：绿色。容量：1L。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中黄色水性漆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由树脂、有机溶剂、颜料、水组成。可溶于水，闪点：＞70℃（闭杯），voc含量：＜420g/L。颜色：柠檬黄。容量：1L。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6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透明棕色水性漆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由树脂、有机溶剂、颜料、水组成。可溶于水，闪点：＞70℃（闭杯），voc含量：＜420g/L。颜色：透明棕。容量：1L。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212</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红色水性漆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由树脂、有机溶剂、颜料、水组成。可溶于水，闪点：＞70℃（闭杯），voc含量：＜420g/L。颜色：红色。容量：1L。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213</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由树脂、有机溶剂、水组成。可溶于水，闪点：＞70℃（闭杯），voc含量：＜420g/L。颜色：透明。容量：2L。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214</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由树脂、有机溶剂、颜料、水组成。可溶于水，闪点：＞23°＜60°（闭杯）。容量：1L。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215</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水性清漆稀释剂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成分：有机溶剂，容量：2L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干磨砂纸80目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干磨砂纸120目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干磨砂纸240目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干磨砂纸320目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干磨砂纸400目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干磨砂纸600目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干磨砂纸800目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干磨砂纸1000目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溶剂手套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100只一盒 喷漆专用，加厚，高弹性、耐稀释剂、强抗腐蚀。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手持枪式喷笔气泵套装小型空压机小口径喷枪上色喷漆喷涂模型彩绘</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技术参数：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电压、频率、插头按用户国标准。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功率:1/5 HP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转速:1450/1750r.p.m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自动停机: 4 bar/57 psi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自动开机:3 bar/43 psi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排气量:23-25L/min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出气口: 1/8 BSP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适用喷笔口径：00.2-1.0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净重:3.6kg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外型尺寸:255*135*205mm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装箱资料：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外箱尺寸:50x29.5x51.5CM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净重/毛重:21.6/24.6KGS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个/箱:6PCS</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leduv光油低能量快速固化好光泽高硬度高uv漆uv涂料 uv上光油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透明LED款，透明汞灯款，1.0mm口径上壶喷枪，专用紫外线灯365nm（20w无风扇），专用紫外线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灯365nm，专用紫外线灯365nm160w,uv专用稀释剂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6" w:hRule="atLeast"/>
          <w:jc w:val="center"/>
        </w:trPr>
        <w:tc>
          <w:tcPr>
            <w:tcW w:w="650" w:type="dxa"/>
            <w:tcBorders>
              <w:top w:val="single" w:color="auto" w:sz="6" w:space="0"/>
              <w:left w:val="single" w:color="auto" w:sz="6" w:space="0"/>
              <w:bottom w:val="single" w:color="auto" w:sz="6" w:space="0"/>
              <w:right w:val="nil"/>
            </w:tcBorders>
            <w:vAlign w:val="center"/>
          </w:tcPr>
          <w:p>
            <w:pPr>
              <w:autoSpaceDE w:val="0"/>
              <w:autoSpaceDN w:val="0"/>
              <w:adjustRightInd w:val="0"/>
              <w:jc w:val="right"/>
              <w:rPr>
                <w:rFonts w:hint="eastAsia" w:ascii="宋体" w:hAnsi="宋体" w:eastAsia="宋体" w:cs="宋体"/>
                <w:kern w:val="0"/>
                <w:szCs w:val="21"/>
                <w:lang w:eastAsia="zh-CN"/>
              </w:rPr>
            </w:pPr>
            <w:r>
              <w:rPr>
                <w:rFonts w:hint="eastAsia" w:ascii="宋体" w:hAnsi="宋体" w:eastAsia="宋体" w:cs="宋体"/>
                <w:kern w:val="0"/>
                <w:szCs w:val="21"/>
                <w:lang w:eastAsia="zh-CN"/>
              </w:rPr>
              <w:t>合</w:t>
            </w:r>
          </w:p>
        </w:tc>
        <w:tc>
          <w:tcPr>
            <w:tcW w:w="1162" w:type="dxa"/>
            <w:tcBorders>
              <w:top w:val="single" w:color="auto" w:sz="6" w:space="0"/>
              <w:left w:val="nil"/>
              <w:bottom w:val="single" w:color="auto" w:sz="6" w:space="0"/>
              <w:right w:val="single" w:color="auto" w:sz="6" w:space="0"/>
            </w:tcBorders>
            <w:vAlign w:val="center"/>
          </w:tcPr>
          <w:p>
            <w:pPr>
              <w:autoSpaceDE w:val="0"/>
              <w:autoSpaceDN w:val="0"/>
              <w:adjustRightInd w:val="0"/>
              <w:jc w:val="right"/>
              <w:rPr>
                <w:rFonts w:ascii="宋体" w:hAnsi="宋体" w:eastAsia="宋体" w:cs="宋体"/>
                <w:kern w:val="0"/>
                <w:szCs w:val="21"/>
              </w:rPr>
            </w:pPr>
            <w:r>
              <w:rPr>
                <w:rFonts w:hint="eastAsia" w:ascii="宋体" w:hAnsi="宋体" w:eastAsia="宋体" w:cs="宋体"/>
                <w:kern w:val="0"/>
                <w:szCs w:val="21"/>
              </w:rPr>
              <w:t>计</w:t>
            </w:r>
          </w:p>
        </w:tc>
        <w:tc>
          <w:tcPr>
            <w:tcW w:w="8431" w:type="dxa"/>
            <w:gridSpan w:val="6"/>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both"/>
              <w:rPr>
                <w:rFonts w:hint="eastAsia" w:ascii="宋体" w:hAnsi="宋体" w:eastAsia="宋体" w:cs="宋体"/>
                <w:kern w:val="0"/>
                <w:szCs w:val="21"/>
                <w:lang w:eastAsia="zh-CN"/>
              </w:rPr>
            </w:pPr>
            <w:r>
              <w:rPr>
                <w:rFonts w:hint="eastAsia" w:ascii="宋体" w:hAnsi="宋体" w:eastAsia="宋体" w:cs="宋体"/>
                <w:kern w:val="0"/>
                <w:szCs w:val="21"/>
              </w:rPr>
              <w:t>小写：</w:t>
            </w:r>
            <w:r>
              <w:rPr>
                <w:rFonts w:hint="eastAsia" w:ascii="宋体" w:hAnsi="宋体" w:eastAsia="宋体" w:cs="宋体"/>
                <w:kern w:val="0"/>
                <w:szCs w:val="21"/>
                <w:lang w:val="en-US" w:eastAsia="zh-CN"/>
              </w:rPr>
              <w:t xml:space="preserve">   </w:t>
            </w:r>
            <w:r>
              <w:rPr>
                <w:rFonts w:ascii="宋体" w:hAnsi="宋体" w:eastAsia="宋体" w:cs="宋体"/>
                <w:kern w:val="0"/>
                <w:szCs w:val="21"/>
              </w:rPr>
              <w:t xml:space="preserve"> </w:t>
            </w:r>
            <w:r>
              <w:rPr>
                <w:rFonts w:hint="eastAsia" w:ascii="宋体" w:hAnsi="宋体" w:eastAsia="宋体" w:cs="宋体"/>
                <w:kern w:val="0"/>
                <w:szCs w:val="21"/>
              </w:rPr>
              <w:t>元</w:t>
            </w:r>
            <w:r>
              <w:rPr>
                <w:rFonts w:ascii="宋体" w:hAnsi="宋体" w:eastAsia="宋体" w:cs="宋体"/>
                <w:kern w:val="0"/>
                <w:szCs w:val="21"/>
              </w:rPr>
              <w:t xml:space="preserve"> </w:t>
            </w:r>
            <w:r>
              <w:rPr>
                <w:rFonts w:hint="eastAsia" w:ascii="宋体" w:hAnsi="宋体" w:eastAsia="宋体" w:cs="宋体"/>
                <w:kern w:val="0"/>
                <w:szCs w:val="21"/>
              </w:rPr>
              <w:t>、</w:t>
            </w:r>
            <w:r>
              <w:rPr>
                <w:rFonts w:ascii="宋体" w:hAnsi="宋体" w:eastAsia="宋体" w:cs="宋体"/>
                <w:kern w:val="0"/>
                <w:szCs w:val="21"/>
              </w:rPr>
              <w:t xml:space="preserve"> </w:t>
            </w:r>
            <w:r>
              <w:rPr>
                <w:rFonts w:hint="eastAsia" w:ascii="宋体" w:hAnsi="宋体" w:eastAsia="宋体" w:cs="宋体"/>
                <w:kern w:val="0"/>
                <w:szCs w:val="21"/>
              </w:rPr>
              <w:t>大写：</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元</w:t>
            </w:r>
            <w:r>
              <w:rPr>
                <w:rFonts w:hint="eastAsia" w:ascii="宋体" w:hAnsi="宋体" w:eastAsia="宋体" w:cs="宋体"/>
                <w:kern w:val="0"/>
                <w:szCs w:val="21"/>
                <w:lang w:eastAsia="zh-CN"/>
              </w:rPr>
              <w:t>整。</w:t>
            </w:r>
          </w:p>
        </w:tc>
      </w:tr>
    </w:tbl>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2575ED"/>
    <w:rsid w:val="18DF3200"/>
    <w:rsid w:val="193910E5"/>
    <w:rsid w:val="195135D8"/>
    <w:rsid w:val="1A7D5684"/>
    <w:rsid w:val="1AC15311"/>
    <w:rsid w:val="1B134EC3"/>
    <w:rsid w:val="1C2C52C5"/>
    <w:rsid w:val="1CAD5CEA"/>
    <w:rsid w:val="1D113FA4"/>
    <w:rsid w:val="1D5B7B20"/>
    <w:rsid w:val="1E57546D"/>
    <w:rsid w:val="1E8F3ED4"/>
    <w:rsid w:val="1F8A2728"/>
    <w:rsid w:val="20371A9D"/>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643CD2"/>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4A875A4"/>
    <w:rsid w:val="45472443"/>
    <w:rsid w:val="45726CAD"/>
    <w:rsid w:val="45E75B72"/>
    <w:rsid w:val="46787084"/>
    <w:rsid w:val="46F25FA8"/>
    <w:rsid w:val="472F74AE"/>
    <w:rsid w:val="497154DF"/>
    <w:rsid w:val="4A364969"/>
    <w:rsid w:val="4B3710C6"/>
    <w:rsid w:val="4C5338DC"/>
    <w:rsid w:val="4C661EAD"/>
    <w:rsid w:val="4C8E350F"/>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072A3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3E064E"/>
    <w:rsid w:val="747D4382"/>
    <w:rsid w:val="74EB34EA"/>
    <w:rsid w:val="75170C43"/>
    <w:rsid w:val="751747F8"/>
    <w:rsid w:val="752A0060"/>
    <w:rsid w:val="755161DC"/>
    <w:rsid w:val="75546E5B"/>
    <w:rsid w:val="7594657A"/>
    <w:rsid w:val="777F323F"/>
    <w:rsid w:val="78AA53A5"/>
    <w:rsid w:val="78B0277B"/>
    <w:rsid w:val="78FD1A99"/>
    <w:rsid w:val="79196E60"/>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nt51"/>
    <w:basedOn w:val="22"/>
    <w:qFormat/>
    <w:uiPriority w:val="0"/>
    <w:rPr>
      <w:rFonts w:hint="eastAsia" w:ascii="仿宋" w:hAnsi="仿宋" w:eastAsia="仿宋" w:cs="仿宋"/>
      <w:color w:val="000000"/>
      <w:sz w:val="24"/>
      <w:szCs w:val="24"/>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5</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2026-09-21T01:04:06Z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