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达州职业技术学院工程项目结算审计服务</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15</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10147"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2118"/>
        <w:gridCol w:w="768"/>
        <w:gridCol w:w="828"/>
        <w:gridCol w:w="2124"/>
        <w:gridCol w:w="354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211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76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124"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3540"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02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11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kern w:val="2"/>
                <w:sz w:val="28"/>
                <w:szCs w:val="28"/>
                <w:lang w:val="en-US" w:eastAsia="zh-CN" w:bidi="ar"/>
              </w:rPr>
              <w:t>达州职业技术学院工程项目结算审计服务</w:t>
            </w:r>
          </w:p>
        </w:tc>
        <w:tc>
          <w:tcPr>
            <w:tcW w:w="76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124"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3540" w:type="dxa"/>
            <w:tcBorders>
              <w:right w:val="single" w:color="auto" w:sz="4" w:space="0"/>
            </w:tcBorders>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供应商报价:基本审计费和效益审计费以整体下浮率（百分比）的形式报价</w:t>
            </w: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887"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仿宋"/>
                <w:kern w:val="0"/>
                <w:sz w:val="24"/>
                <w:szCs w:val="24"/>
                <w:lang w:val="en-US" w:eastAsia="zh-CN"/>
              </w:rPr>
              <w:t>基本审计费、效益审计费整体下浮率（百分比）</w:t>
            </w:r>
          </w:p>
        </w:tc>
        <w:tc>
          <w:tcPr>
            <w:tcW w:w="726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 大写：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887"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26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887"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26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887"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26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887"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26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887"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26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报价为包干价，含税费、人工费等一切费用。</w:t>
      </w:r>
      <w:bookmarkStart w:id="7" w:name="_GoBack"/>
      <w:bookmarkEnd w:id="7"/>
    </w:p>
    <w:p>
      <w:pPr>
        <w:numPr>
          <w:ilvl w:val="0"/>
          <w:numId w:val="0"/>
        </w:numPr>
        <w:rPr>
          <w:rFonts w:hint="default"/>
          <w:lang w:val="en-US" w:eastAsia="zh-CN"/>
        </w:rPr>
      </w:pPr>
    </w:p>
    <w:p>
      <w:pPr>
        <w:pStyle w:val="2"/>
        <w:rPr>
          <w:rFonts w:hint="eastAsia"/>
          <w:lang w:val="en-US" w:eastAsia="zh-CN"/>
        </w:rPr>
      </w:pPr>
    </w:p>
    <w:p>
      <w:pPr>
        <w:spacing w:line="560" w:lineRule="exact"/>
        <w:jc w:val="both"/>
        <w:rPr>
          <w:rFonts w:hint="eastAsia" w:ascii="Calibri" w:hAnsi="Calibri" w:eastAsia="宋体" w:cs="Times New Roman"/>
          <w:b/>
          <w:bCs/>
          <w:color w:val="000000"/>
          <w:sz w:val="36"/>
          <w:szCs w:val="44"/>
          <w:lang w:val="en-US" w:eastAsia="zh-CN"/>
        </w:rPr>
      </w:pP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p>
      <w:pPr>
        <w:jc w:val="center"/>
        <w:rPr>
          <w:rFonts w:hint="eastAsia" w:ascii="黑体" w:hAnsi="黑体" w:eastAsia="黑体" w:cs="Times New Roman"/>
          <w:b/>
          <w:color w:val="000000"/>
          <w:sz w:val="52"/>
          <w:szCs w:val="52"/>
        </w:rPr>
      </w:pPr>
      <w:bookmarkStart w:id="0" w:name="EB2cdd31c6d91f4b80ab26e13b57abc56f"/>
      <w:r>
        <w:rPr>
          <w:rFonts w:hint="eastAsia" w:ascii="黑体" w:hAnsi="黑体" w:eastAsia="黑体" w:cs="Times New Roman"/>
          <w:b/>
          <w:color w:val="000000"/>
          <w:sz w:val="52"/>
          <w:szCs w:val="52"/>
        </w:rPr>
        <w:t>达州职业技术学院</w:t>
      </w:r>
      <w:bookmarkEnd w:id="0"/>
    </w:p>
    <w:p>
      <w:pPr>
        <w:jc w:val="center"/>
        <w:rPr>
          <w:rFonts w:hint="eastAsia" w:ascii="黑体" w:hAnsi="黑体" w:eastAsia="黑体" w:cs="Times New Roman"/>
          <w:b/>
          <w:color w:val="000000"/>
          <w:sz w:val="52"/>
          <w:szCs w:val="52"/>
          <w:lang w:val="en-US" w:eastAsia="zh-CN"/>
        </w:rPr>
      </w:pPr>
      <w:r>
        <w:rPr>
          <w:rFonts w:hint="eastAsia" w:ascii="黑体" w:hAnsi="黑体" w:eastAsia="黑体" w:cs="Times New Roman"/>
          <w:b/>
          <w:color w:val="000000"/>
          <w:sz w:val="52"/>
          <w:szCs w:val="52"/>
        </w:rPr>
        <w:t>工程结算审计服务采购项目</w:t>
      </w:r>
      <w:r>
        <w:rPr>
          <w:rFonts w:hint="eastAsia" w:ascii="黑体" w:hAnsi="黑体" w:eastAsia="黑体" w:cs="Times New Roman"/>
          <w:b/>
          <w:color w:val="000000"/>
          <w:sz w:val="52"/>
          <w:szCs w:val="52"/>
          <w:lang w:eastAsia="zh-CN"/>
        </w:rPr>
        <w:t>参数及要求</w:t>
      </w:r>
    </w:p>
    <w:p>
      <w:pPr>
        <w:rPr>
          <w:rFonts w:ascii="Calibri" w:hAnsi="Calibri" w:eastAsia="宋体" w:cs="Times New Roman"/>
        </w:rPr>
      </w:pPr>
      <w:bookmarkStart w:id="1" w:name="EB6efba44fd43d4fedbee22a79b021c1b0"/>
      <w:bookmarkEnd w:id="1"/>
      <w:bookmarkStart w:id="2" w:name="EBb251c8122273443896a164a1e2029127"/>
      <w:bookmarkEnd w:id="2"/>
    </w:p>
    <w:p>
      <w:pPr>
        <w:rPr>
          <w:rFonts w:ascii="Calibri" w:hAnsi="Calibri" w:eastAsia="宋体" w:cs="Times New Roman"/>
          <w:color w:val="000080"/>
          <w:sz w:val="20"/>
        </w:rPr>
      </w:pPr>
    </w:p>
    <w:p>
      <w:pPr>
        <w:keepNext w:val="0"/>
        <w:keepLines w:val="0"/>
        <w:pageBreakBefore w:val="0"/>
        <w:numPr>
          <w:ilvl w:val="0"/>
          <w:numId w:val="1"/>
        </w:numPr>
        <w:kinsoku/>
        <w:wordWrap/>
        <w:overflowPunct/>
        <w:topLinePunct w:val="0"/>
        <w:autoSpaceDE/>
        <w:autoSpaceDN/>
        <w:bidi w:val="0"/>
        <w:adjustRightInd/>
        <w:spacing w:line="578" w:lineRule="exact"/>
        <w:textAlignment w:val="auto"/>
        <w:rPr>
          <w:rFonts w:hint="eastAsia" w:ascii="宋体" w:hAnsi="宋体" w:eastAsia="宋体" w:cs="宋体"/>
          <w:b/>
          <w:sz w:val="28"/>
          <w:szCs w:val="28"/>
          <w:lang w:val="en-US" w:eastAsia="zh-CN"/>
        </w:rPr>
      </w:pPr>
      <w:bookmarkStart w:id="3" w:name="_Toc7355296"/>
      <w:r>
        <w:rPr>
          <w:rFonts w:hint="eastAsia" w:ascii="宋体" w:hAnsi="宋体" w:eastAsia="宋体" w:cs="宋体"/>
          <w:b/>
          <w:bCs/>
          <w:sz w:val="28"/>
          <w:szCs w:val="28"/>
        </w:rPr>
        <w:t>采购项目技术、服务及其他要求</w:t>
      </w:r>
      <w:bookmarkEnd w:id="3"/>
      <w:bookmarkStart w:id="4" w:name="EBc61ba50dfa0a4b0ba4567428768a2701"/>
    </w:p>
    <w:p>
      <w:pPr>
        <w:keepNext w:val="0"/>
        <w:keepLines w:val="0"/>
        <w:pageBreakBefore w:val="0"/>
        <w:numPr>
          <w:ilvl w:val="0"/>
          <w:numId w:val="0"/>
        </w:numPr>
        <w:kinsoku/>
        <w:wordWrap/>
        <w:overflowPunct/>
        <w:topLinePunct w:val="0"/>
        <w:autoSpaceDE/>
        <w:autoSpaceDN/>
        <w:bidi w:val="0"/>
        <w:adjustRightInd/>
        <w:spacing w:line="578" w:lineRule="exact"/>
        <w:ind w:firstLine="281" w:firstLineChars="100"/>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eastAsia="zh-CN"/>
        </w:rPr>
        <w:t>（</w:t>
      </w:r>
      <w:r>
        <w:rPr>
          <w:rFonts w:hint="eastAsia" w:ascii="宋体" w:hAnsi="宋体" w:eastAsia="宋体" w:cs="宋体"/>
          <w:b/>
          <w:bCs w:val="0"/>
          <w:sz w:val="28"/>
          <w:szCs w:val="28"/>
          <w:lang w:eastAsia="zh-CN"/>
        </w:rPr>
        <w:t>一</w:t>
      </w:r>
      <w:r>
        <w:rPr>
          <w:rFonts w:hint="eastAsia" w:ascii="宋体" w:hAnsi="宋体" w:eastAsia="宋体" w:cs="宋体"/>
          <w:b/>
          <w:sz w:val="28"/>
          <w:szCs w:val="28"/>
          <w:lang w:eastAsia="zh-CN"/>
        </w:rPr>
        <w:t>）</w:t>
      </w:r>
      <w:r>
        <w:rPr>
          <w:rFonts w:hint="eastAsia" w:ascii="宋体" w:hAnsi="宋体" w:eastAsia="宋体" w:cs="宋体"/>
          <w:b/>
          <w:sz w:val="28"/>
          <w:szCs w:val="28"/>
        </w:rPr>
        <w:t>项目</w:t>
      </w:r>
      <w:r>
        <w:rPr>
          <w:rFonts w:hint="eastAsia" w:ascii="宋体" w:hAnsi="宋体" w:eastAsia="宋体" w:cs="宋体"/>
          <w:b/>
          <w:sz w:val="28"/>
          <w:szCs w:val="28"/>
          <w:lang w:val="en-US" w:eastAsia="zh-CN"/>
        </w:rPr>
        <w:t>名称</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达州职业技术学院工</w:t>
      </w:r>
      <w:r>
        <w:rPr>
          <w:rFonts w:hint="eastAsia" w:ascii="宋体" w:hAnsi="宋体" w:eastAsia="宋体" w:cs="宋体"/>
          <w:color w:val="auto"/>
          <w:kern w:val="2"/>
          <w:sz w:val="28"/>
          <w:szCs w:val="28"/>
          <w:lang w:val="en-US" w:eastAsia="zh-CN" w:bidi="ar-SA"/>
        </w:rPr>
        <w:t>程项目竣工结</w:t>
      </w:r>
      <w:r>
        <w:rPr>
          <w:rFonts w:hint="eastAsia" w:ascii="宋体" w:hAnsi="宋体" w:eastAsia="宋体" w:cs="宋体"/>
          <w:kern w:val="2"/>
          <w:sz w:val="28"/>
          <w:szCs w:val="28"/>
          <w:lang w:val="en-US" w:eastAsia="zh-CN" w:bidi="ar-SA"/>
        </w:rPr>
        <w:t>算审计。</w:t>
      </w:r>
    </w:p>
    <w:p>
      <w:pPr>
        <w:keepNext w:val="0"/>
        <w:keepLines w:val="0"/>
        <w:pageBreakBefore w:val="0"/>
        <w:numPr>
          <w:ilvl w:val="0"/>
          <w:numId w:val="0"/>
        </w:numPr>
        <w:kinsoku/>
        <w:wordWrap/>
        <w:overflowPunct/>
        <w:topLinePunct w:val="0"/>
        <w:autoSpaceDE/>
        <w:autoSpaceDN/>
        <w:bidi w:val="0"/>
        <w:adjustRightInd/>
        <w:spacing w:line="578" w:lineRule="exact"/>
        <w:ind w:firstLine="281" w:firstLineChars="100"/>
        <w:textAlignment w:val="auto"/>
        <w:rPr>
          <w:rFonts w:hint="eastAsia" w:ascii="宋体" w:hAnsi="宋体" w:eastAsia="宋体" w:cs="宋体"/>
          <w:b/>
          <w:sz w:val="28"/>
          <w:szCs w:val="28"/>
          <w:lang w:eastAsia="zh-CN"/>
        </w:rPr>
      </w:pPr>
      <w:r>
        <w:rPr>
          <w:rFonts w:hint="eastAsia" w:ascii="宋体" w:hAnsi="宋体" w:eastAsia="宋体" w:cs="宋体"/>
          <w:b/>
          <w:sz w:val="28"/>
          <w:szCs w:val="28"/>
          <w:lang w:eastAsia="zh-CN"/>
        </w:rPr>
        <w:t>（</w:t>
      </w:r>
      <w:r>
        <w:rPr>
          <w:rFonts w:hint="eastAsia" w:ascii="宋体" w:hAnsi="宋体" w:eastAsia="宋体" w:cs="宋体"/>
          <w:b/>
          <w:sz w:val="28"/>
          <w:szCs w:val="28"/>
          <w:lang w:val="en-US" w:eastAsia="zh-CN"/>
        </w:rPr>
        <w:t>二</w:t>
      </w:r>
      <w:r>
        <w:rPr>
          <w:rFonts w:hint="eastAsia" w:ascii="宋体" w:hAnsi="宋体" w:eastAsia="宋体" w:cs="宋体"/>
          <w:b/>
          <w:sz w:val="28"/>
          <w:szCs w:val="28"/>
          <w:lang w:eastAsia="zh-CN"/>
        </w:rPr>
        <w:t>）服务内容及要求</w:t>
      </w:r>
    </w:p>
    <w:p>
      <w:pPr>
        <w:keepNext w:val="0"/>
        <w:keepLines w:val="0"/>
        <w:pageBreakBefore w:val="0"/>
        <w:widowControl w:val="0"/>
        <w:kinsoku/>
        <w:wordWrap/>
        <w:overflowPunct/>
        <w:topLinePunct w:val="0"/>
        <w:autoSpaceDE/>
        <w:autoSpaceDN/>
        <w:bidi w:val="0"/>
        <w:adjustRightInd/>
        <w:snapToGrid w:val="0"/>
        <w:spacing w:line="578" w:lineRule="exact"/>
        <w:ind w:firstLine="562" w:firstLineChars="200"/>
        <w:jc w:val="both"/>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1.服务内容</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（1）采购人委托的工程项目竣工结算审计服务。</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（2）工程相关问题咨询服务。</w:t>
      </w:r>
    </w:p>
    <w:p>
      <w:pPr>
        <w:keepNext w:val="0"/>
        <w:keepLines w:val="0"/>
        <w:pageBreakBefore w:val="0"/>
        <w:widowControl w:val="0"/>
        <w:kinsoku/>
        <w:wordWrap/>
        <w:overflowPunct/>
        <w:topLinePunct w:val="0"/>
        <w:autoSpaceDE/>
        <w:autoSpaceDN/>
        <w:bidi w:val="0"/>
        <w:adjustRightInd/>
        <w:snapToGrid w:val="0"/>
        <w:spacing w:line="578" w:lineRule="exact"/>
        <w:ind w:firstLine="562" w:firstLineChars="200"/>
        <w:jc w:val="both"/>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2.工作内容及职责</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（1）认真履行委托合同约定的工作职责，对出具的咨询意见书和审计报告承担法律和经济责任，接受采购人审计部门（以下简称审计处）的管理和监督。</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（2）采购人委托的工程项目竣工结算审计，出具竣工结算审计报告。</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（3）加强与采购人工程建设管理部门、施工单位、监理单位等的沟通协调，及时向审计处汇报审计工作进展情况和发现的问题。</w:t>
      </w:r>
    </w:p>
    <w:p>
      <w:pPr>
        <w:keepNext w:val="0"/>
        <w:keepLines w:val="0"/>
        <w:pageBreakBefore w:val="0"/>
        <w:widowControl w:val="0"/>
        <w:kinsoku/>
        <w:wordWrap/>
        <w:overflowPunct/>
        <w:topLinePunct w:val="0"/>
        <w:autoSpaceDE/>
        <w:autoSpaceDN/>
        <w:bidi w:val="0"/>
        <w:adjustRightInd/>
        <w:snapToGrid w:val="0"/>
        <w:spacing w:line="578" w:lineRule="exact"/>
        <w:ind w:firstLine="562" w:firstLineChars="200"/>
        <w:jc w:val="both"/>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3.服务质量要求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（1）审计纪律和保密要求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①严格遵守各项审计工作纪律和廉政纪律，按要求落实回避制度。</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②对审计过程中发现的重大问题和发生争议的重大事项及时向审计处书面反映，并接受审计处的管理和监督。</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③对执业过程中知悉的商业秘密严加保密，不得向外泄露。</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一经发现有违反上述要求的行为，采购人有权立即终止合同，并禁止该供应商参与采购人所有工程结算审计服务工作。</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（2）安全要求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单独提供“服务期内，将自行负责所有服务人员和设备的安全（包括但不限于人身和财产）责任，与采购人无关”的承诺。</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（3）人员要求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①供应商在服务期内，需指定一名总负责人（必须具备一级造价工程师资格或注册造价工程师资格，注册在本单位），负责与审计处对接，处理所有委托项目资料接收、退还、现场踏勘、工程量（价）核对以及其他评审事项；供应商选派的具体项目负责人（必须具备一级造价工程师资格或注册造价工程师资格，注册在本单位），并承担过类似工程项目结算审计工作，可与项目总负责人为同一人。签订合同时提供资料。</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②供应商应根据具体项目性质和特点指派项目负责人和参审人员，并在项目开始前和审计处协商约定。若供应商指派的项目负责人和参审人员不符合协商约定，采购人有权立即终止合同，并追究相关法律责任。</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③审计处对供应商的各项目组审计人员有审核认可权。如有正当理由认为其具有不称职、不合格或与其职位有不符合的行为时，审计处有权要求调换该人员，由此造成的全部责任由供应商承担。</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（4）服务要求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①供应商在服务期内，无正当理由不得拒绝委托。已接受委托的项目，必须按照合同要求按时按质完成任务。未经采购人书面同意，不得擅自将受托项目转委托第三方承担。</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②供应商接收项目资料后，应及时对资料进行详细整理，签订移交清单，并妥善保管，若遗失或损毁，由供应商承担相应法律责任。若需补充提供审计资料，供应商应及时联系审计处，书面提交所需补充资料清单，若未提出则视为项目正式进入审计程序。</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③供应商应对其实施的审计取证单、审计工作底稿及审计报告的真实性、准确性负责，在合同约定的参与审计有效工作时间之外，若出具的工作成果存在质量问题，供应商应配合采购人对相应问题进行重新调查，补充完善相应审计文书。</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（5）考核要求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①供应商存在以下情况时，采购人有权解除合同，审计结果不予采纳，审计咨询费不予支付，并且有权扣回已经支付的费用：</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a.提供的审计报告严重失实，审计结论不准确，并且拒绝进行重新审计或纠正的；</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b.对可能存在的重大舞弊以及违法违纪行为未能及时告知，导致审计结果不客观的；</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c.转包或分包委托审计业务的；</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d.拒绝完成采购人安排的审计业务，或无正当理由未能在规定期限内完成审计业务的；</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e.违背合同约定或相关规定，采购人多次责令纠正，仍屡犯不改或拒绝纠正的；</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f.违反保密协议，泄露采购人信息，给采购人造成损失和不良影响的；</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g.违反清正廉洁有关规定的。</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②供应商存在以下情况，审计处有权扣减其审计咨询费：</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a.供应商项目负责人无故未参加委托审计项目相关会议，每次扣除500元。</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b.成果提交要求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表1 成果提交期限</w:t>
      </w:r>
    </w:p>
    <w:tbl>
      <w:tblPr>
        <w:tblStyle w:val="34"/>
        <w:tblW w:w="90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3"/>
        <w:gridCol w:w="3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143" w:type="dxa"/>
            <w:vAlign w:val="center"/>
          </w:tcPr>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送审工程造价</w:t>
            </w:r>
          </w:p>
        </w:tc>
        <w:tc>
          <w:tcPr>
            <w:tcW w:w="3885" w:type="dxa"/>
            <w:vAlign w:val="center"/>
          </w:tcPr>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成果提交期限（工作日）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143" w:type="dxa"/>
            <w:vAlign w:val="center"/>
          </w:tcPr>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5万以上（含5万）20万以下</w:t>
            </w:r>
          </w:p>
        </w:tc>
        <w:tc>
          <w:tcPr>
            <w:tcW w:w="3885" w:type="dxa"/>
            <w:vAlign w:val="center"/>
          </w:tcPr>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143" w:type="dxa"/>
            <w:vAlign w:val="center"/>
          </w:tcPr>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20万以上（含20万）200万以下</w:t>
            </w:r>
          </w:p>
        </w:tc>
        <w:tc>
          <w:tcPr>
            <w:tcW w:w="3885" w:type="dxa"/>
            <w:vAlign w:val="center"/>
          </w:tcPr>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143" w:type="dxa"/>
            <w:vAlign w:val="center"/>
          </w:tcPr>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200万以上（含200万）1000万以下</w:t>
            </w:r>
          </w:p>
        </w:tc>
        <w:tc>
          <w:tcPr>
            <w:tcW w:w="3885" w:type="dxa"/>
            <w:vAlign w:val="center"/>
          </w:tcPr>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30</w:t>
            </w:r>
          </w:p>
        </w:tc>
      </w:tr>
    </w:tbl>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如遇特殊情况由双方单独约定。若因供应商原因无法按照双方约定时限交付审计报告，应提前告知。如无理由延迟交付，与投标文件载明成果文件提交期限相比，每延迟一天，采购人可据此收取违约金100元，累计三次以上的，采购人有权单方面解除合同，终止委托业务。</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（6）其它要求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①如合同到期项目处于进行中，供应商必须将项目整体完成并将相应文件、材料交付采购人。</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②供应商应提供工程结算审计服务实施方案。</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③供应商提供的对接负责人应保证通讯畅通。</w:t>
      </w:r>
    </w:p>
    <w:p>
      <w:pPr>
        <w:keepNext w:val="0"/>
        <w:keepLines w:val="0"/>
        <w:pageBreakBefore w:val="0"/>
        <w:widowControl w:val="0"/>
        <w:kinsoku/>
        <w:wordWrap/>
        <w:overflowPunct/>
        <w:topLinePunct w:val="0"/>
        <w:autoSpaceDE/>
        <w:autoSpaceDN/>
        <w:bidi w:val="0"/>
        <w:adjustRightInd/>
        <w:snapToGrid w:val="0"/>
        <w:spacing w:line="578" w:lineRule="exact"/>
        <w:ind w:firstLine="562" w:firstLineChars="200"/>
        <w:jc w:val="both"/>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4.商务要求</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（1）服务费用</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①价格组成：审计费用由基本审计费和效益审计费组成。</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②预算控制价：基本审计费按照《四川省工程造价咨询服务收费标准》川价发〔2008〕141号文件规定的结算审计费率（见表2）作为预算控制价；效益审计费以审减金额的3%作为预算控制价。</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表2 四川省工程造价咨询服务收费标准</w:t>
      </w:r>
    </w:p>
    <w:tbl>
      <w:tblPr>
        <w:tblStyle w:val="34"/>
        <w:tblW w:w="964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022"/>
        <w:gridCol w:w="1283"/>
        <w:gridCol w:w="1186"/>
        <w:gridCol w:w="1271"/>
        <w:gridCol w:w="1285"/>
        <w:gridCol w:w="1285"/>
        <w:gridCol w:w="1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42" w:type="dxa"/>
            <w:vMerge w:val="restart"/>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收费项目</w:t>
            </w:r>
          </w:p>
        </w:tc>
        <w:tc>
          <w:tcPr>
            <w:tcW w:w="1022" w:type="dxa"/>
            <w:vMerge w:val="restart"/>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收费基数</w:t>
            </w:r>
          </w:p>
        </w:tc>
        <w:tc>
          <w:tcPr>
            <w:tcW w:w="7577" w:type="dxa"/>
            <w:gridSpan w:val="6"/>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w:t>
            </w:r>
            <m:oMath>
              <m:r>
                <m:rPr>
                  <m:sty m:val="p"/>
                </m:rPr>
                <w:rPr>
                  <w:rFonts w:hint="eastAsia" w:ascii="Cambria Math" w:hAnsi="Cambria Math" w:eastAsia="宋体" w:cs="宋体"/>
                  <w:sz w:val="28"/>
                  <w:szCs w:val="28"/>
                </w:rPr>
                <m:t>‰</m:t>
              </m:r>
            </m:oMath>
            <w:r>
              <w:rPr>
                <w:rFonts w:hint="eastAsia" w:ascii="宋体" w:hAnsi="宋体" w:eastAsia="宋体" w:cs="宋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42" w:type="dxa"/>
            <w:vMerge w:val="continue"/>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p>
        </w:tc>
        <w:tc>
          <w:tcPr>
            <w:tcW w:w="1022" w:type="dxa"/>
            <w:vMerge w:val="continue"/>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p>
        </w:tc>
        <w:tc>
          <w:tcPr>
            <w:tcW w:w="1283"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m:oMath>
              <m:r>
                <m:rPr>
                  <m:sty m:val="p"/>
                </m:rPr>
                <w:rPr>
                  <w:rFonts w:hint="eastAsia" w:ascii="Cambria Math" w:hAnsi="Cambria Math" w:eastAsia="宋体" w:cs="宋体"/>
                  <w:sz w:val="28"/>
                  <w:szCs w:val="28"/>
                </w:rPr>
                <m:t>≤100</m:t>
              </m:r>
            </m:oMath>
            <w:r>
              <w:rPr>
                <w:rFonts w:hint="eastAsia" w:ascii="宋体" w:hAnsi="宋体" w:eastAsia="宋体" w:cs="宋体"/>
                <w:sz w:val="28"/>
                <w:szCs w:val="28"/>
              </w:rPr>
              <w:t>万元</w:t>
            </w:r>
          </w:p>
        </w:tc>
        <w:tc>
          <w:tcPr>
            <w:tcW w:w="1186"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m:oMath>
              <m:r>
                <m:rPr>
                  <m:sty m:val="p"/>
                </m:rPr>
                <w:rPr>
                  <w:rFonts w:hint="eastAsia" w:ascii="Cambria Math" w:hAnsi="Cambria Math" w:eastAsia="宋体" w:cs="宋体"/>
                  <w:sz w:val="28"/>
                  <w:szCs w:val="28"/>
                </w:rPr>
                <m:t>≤500</m:t>
              </m:r>
            </m:oMath>
            <w:r>
              <w:rPr>
                <w:rFonts w:hint="eastAsia" w:ascii="宋体" w:hAnsi="宋体" w:eastAsia="宋体" w:cs="宋体"/>
                <w:sz w:val="28"/>
                <w:szCs w:val="28"/>
              </w:rPr>
              <w:t>万元</w:t>
            </w:r>
          </w:p>
        </w:tc>
        <w:tc>
          <w:tcPr>
            <w:tcW w:w="1271"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Calibri" w:hAnsi="Cambria Math" w:eastAsia="宋体" w:cs="Times New Roman"/>
                <w:i w:val="0"/>
                <w:sz w:val="28"/>
                <w:szCs w:val="22"/>
                <w:lang w:val="en-US" w:eastAsia="zh-CN"/>
              </w:rPr>
            </w:pPr>
            <m:oMath>
              <m:r>
                <w:rPr>
                  <w:rFonts w:hint="default" w:ascii="Cambria Math" w:hAnsi="Cambria Math" w:eastAsia="宋体"/>
                  <w:sz w:val="28"/>
                  <w:szCs w:val="22"/>
                </w:rPr>
                <m:t>≤</m:t>
              </m:r>
            </m:oMath>
            <w:r>
              <w:rPr>
                <w:rFonts w:hint="eastAsia" w:ascii="Calibri" w:hAnsi="Cambria Math" w:eastAsia="宋体" w:cs="Times New Roman"/>
                <w:i w:val="0"/>
                <w:sz w:val="28"/>
                <w:szCs w:val="22"/>
                <w:lang w:val="en-US" w:eastAsia="zh-CN"/>
              </w:rPr>
              <w:t>1000</w:t>
            </w:r>
          </w:p>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Cambria Math" w:hAnsi="Cambria Math" w:eastAsia="宋体" w:cs="宋体"/>
                <w:b w:val="0"/>
                <w:i w:val="0"/>
                <w:sz w:val="28"/>
                <w:szCs w:val="28"/>
              </w:rPr>
              <w:t>万元</w:t>
            </w:r>
          </w:p>
        </w:tc>
        <w:tc>
          <w:tcPr>
            <w:tcW w:w="1285"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m:oMath>
              <m:r>
                <m:rPr>
                  <m:sty m:val="p"/>
                </m:rPr>
                <w:rPr>
                  <w:rFonts w:hint="eastAsia" w:ascii="Cambria Math" w:hAnsi="Cambria Math" w:eastAsia="宋体" w:cs="宋体"/>
                  <w:sz w:val="28"/>
                  <w:szCs w:val="28"/>
                </w:rPr>
                <m:t>≤5000</m:t>
              </m:r>
            </m:oMath>
            <w:r>
              <w:rPr>
                <w:rFonts w:hint="eastAsia" w:ascii="宋体" w:hAnsi="宋体" w:eastAsia="宋体" w:cs="宋体"/>
                <w:sz w:val="28"/>
                <w:szCs w:val="28"/>
              </w:rPr>
              <w:t>万元</w:t>
            </w:r>
          </w:p>
        </w:tc>
        <w:tc>
          <w:tcPr>
            <w:tcW w:w="1285"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Calibri" w:hAnsi="Cambria Math" w:eastAsia="宋体" w:cs="宋体"/>
                <w:b w:val="0"/>
                <w:i w:val="0"/>
                <w:sz w:val="28"/>
                <w:szCs w:val="28"/>
              </w:rPr>
            </w:pPr>
            <m:oMathPara>
              <m:oMath>
                <m:r>
                  <m:rPr>
                    <m:sty m:val="p"/>
                  </m:rPr>
                  <w:rPr>
                    <w:rFonts w:hint="eastAsia" w:ascii="Cambria Math" w:hAnsi="Cambria Math" w:eastAsia="宋体" w:cs="宋体"/>
                    <w:sz w:val="28"/>
                    <w:szCs w:val="28"/>
                  </w:rPr>
                  <m:t>≤1</m:t>
                </m:r>
              </m:oMath>
            </m:oMathPara>
          </w:p>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亿元</w:t>
            </w:r>
          </w:p>
        </w:tc>
        <w:tc>
          <w:tcPr>
            <w:tcW w:w="1267"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Calibri" w:hAnsi="Cambria Math" w:eastAsia="宋体" w:cs="宋体"/>
                <w:i w:val="0"/>
                <w:sz w:val="28"/>
                <w:szCs w:val="28"/>
              </w:rPr>
            </w:pPr>
            <m:oMathPara>
              <m:oMath>
                <m:r>
                  <w:rPr>
                    <w:rFonts w:hint="default" w:ascii="Cambria Math" w:hAnsi="Cambria Math" w:eastAsia="宋体"/>
                    <w:sz w:val="28"/>
                  </w:rPr>
                  <m:t>&gt;1</m:t>
                </m:r>
              </m:oMath>
            </m:oMathPara>
          </w:p>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42"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审核竣工结算</w:t>
            </w:r>
          </w:p>
        </w:tc>
        <w:tc>
          <w:tcPr>
            <w:tcW w:w="1022"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送审工程造价</w:t>
            </w:r>
          </w:p>
        </w:tc>
        <w:tc>
          <w:tcPr>
            <w:tcW w:w="1283"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5.00</w:t>
            </w:r>
          </w:p>
        </w:tc>
        <w:tc>
          <w:tcPr>
            <w:tcW w:w="1186"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4.80</w:t>
            </w:r>
          </w:p>
        </w:tc>
        <w:tc>
          <w:tcPr>
            <w:tcW w:w="1271"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4.60</w:t>
            </w:r>
          </w:p>
        </w:tc>
        <w:tc>
          <w:tcPr>
            <w:tcW w:w="1285"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4.40</w:t>
            </w:r>
          </w:p>
        </w:tc>
        <w:tc>
          <w:tcPr>
            <w:tcW w:w="1285"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4.00</w:t>
            </w:r>
          </w:p>
        </w:tc>
        <w:tc>
          <w:tcPr>
            <w:tcW w:w="1267" w:type="dxa"/>
            <w:vAlign w:val="center"/>
          </w:tcPr>
          <w:p>
            <w:pPr>
              <w:keepNext w:val="0"/>
              <w:keepLines w:val="0"/>
              <w:pageBreakBefore w:val="0"/>
              <w:kinsoku/>
              <w:wordWrap/>
              <w:overflowPunct/>
              <w:topLinePunct w:val="0"/>
              <w:autoSpaceDE/>
              <w:autoSpaceDN/>
              <w:bidi w:val="0"/>
              <w:adjustRightInd/>
              <w:spacing w:line="578" w:lineRule="exact"/>
              <w:jc w:val="center"/>
              <w:textAlignment w:val="auto"/>
              <w:rPr>
                <w:rFonts w:hint="eastAsia" w:ascii="宋体" w:hAnsi="宋体" w:eastAsia="宋体" w:cs="宋体"/>
                <w:sz w:val="28"/>
                <w:szCs w:val="28"/>
              </w:rPr>
            </w:pPr>
            <w:r>
              <w:rPr>
                <w:rFonts w:hint="eastAsia" w:ascii="宋体" w:hAnsi="宋体" w:eastAsia="宋体" w:cs="宋体"/>
                <w:sz w:val="28"/>
                <w:szCs w:val="28"/>
              </w:rPr>
              <w:t>3.50</w:t>
            </w:r>
          </w:p>
        </w:tc>
      </w:tr>
    </w:tbl>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③供应商响应报价：基本审计费和效益审计费以整体下浮率（百分比）的形式报价，作为计算服务费用的依据。</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④费用结算：服务完成后，基本审计费和效益审计费以送审工程造价和实际审减金额为基数计算，公式如下：</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服务费用=送审工程造价</w:t>
      </w:r>
      <m:oMath>
        <m:r>
          <m:rPr>
            <m:sty m:val="p"/>
          </m:rPr>
          <w:rPr>
            <w:rFonts w:hint="eastAsia" w:ascii="Cambria Math" w:hAnsi="Cambria Math" w:eastAsia="宋体" w:cs="宋体"/>
            <w:sz w:val="28"/>
            <w:szCs w:val="28"/>
            <w:lang w:val="en-US" w:eastAsia="zh-CN"/>
          </w:rPr>
          <m:t>×</m:t>
        </m:r>
      </m:oMath>
      <w:r>
        <w:rPr>
          <w:rFonts w:hint="eastAsia" w:ascii="宋体" w:hAnsi="宋体" w:eastAsia="宋体" w:cs="宋体"/>
          <w:kern w:val="2"/>
          <w:sz w:val="28"/>
          <w:szCs w:val="28"/>
          <w:lang w:val="en-US" w:eastAsia="zh-CN" w:bidi="ar-SA"/>
        </w:rPr>
        <w:t>四川省工程造价咨询服务收费标准规定费率</w:t>
      </w:r>
      <m:oMath>
        <m:r>
          <m:rPr>
            <m:sty m:val="p"/>
          </m:rPr>
          <w:rPr>
            <w:rFonts w:hint="eastAsia" w:ascii="Cambria Math" w:hAnsi="Cambria Math" w:eastAsia="宋体" w:cs="宋体"/>
            <w:sz w:val="28"/>
            <w:szCs w:val="28"/>
            <w:lang w:val="en-US" w:eastAsia="zh-CN"/>
          </w:rPr>
          <m:t>×</m:t>
        </m:r>
      </m:oMath>
      <w:r>
        <w:rPr>
          <w:rFonts w:hint="eastAsia" w:ascii="宋体" w:hAnsi="宋体" w:eastAsia="宋体" w:cs="宋体"/>
          <w:kern w:val="2"/>
          <w:sz w:val="28"/>
          <w:szCs w:val="28"/>
          <w:lang w:val="en-US" w:eastAsia="zh-CN" w:bidi="ar-SA"/>
        </w:rPr>
        <w:t>（1-基本审计费下浮率）</w:t>
      </w:r>
      <m:oMath>
        <m:r>
          <m:rPr>
            <m:sty m:val="p"/>
          </m:rPr>
          <w:rPr>
            <w:rFonts w:hint="eastAsia" w:ascii="Cambria Math" w:hAnsi="Cambria Math" w:eastAsia="宋体" w:cs="宋体"/>
            <w:sz w:val="28"/>
            <w:szCs w:val="28"/>
            <w:lang w:val="en-US" w:eastAsia="zh-CN"/>
          </w:rPr>
          <m:t>+</m:t>
        </m:r>
      </m:oMath>
      <w:r>
        <w:rPr>
          <w:rFonts w:hint="eastAsia" w:ascii="宋体" w:hAnsi="宋体" w:eastAsia="宋体" w:cs="宋体"/>
          <w:kern w:val="2"/>
          <w:sz w:val="28"/>
          <w:szCs w:val="28"/>
          <w:lang w:val="en-US" w:eastAsia="zh-CN" w:bidi="ar-SA"/>
        </w:rPr>
        <w:t>实际审减金额</w:t>
      </w:r>
      <m:oMath>
        <m:r>
          <m:rPr>
            <m:sty m:val="p"/>
          </m:rPr>
          <w:rPr>
            <w:rFonts w:hint="eastAsia" w:ascii="Cambria Math" w:hAnsi="Cambria Math" w:eastAsia="宋体" w:cs="宋体"/>
            <w:sz w:val="28"/>
            <w:szCs w:val="28"/>
            <w:lang w:val="en-US" w:eastAsia="zh-CN"/>
          </w:rPr>
          <m:t>×</m:t>
        </m:r>
      </m:oMath>
      <w:r>
        <w:rPr>
          <w:rFonts w:hint="eastAsia" w:ascii="宋体" w:hAnsi="宋体" w:eastAsia="宋体" w:cs="宋体"/>
          <w:kern w:val="2"/>
          <w:sz w:val="28"/>
          <w:szCs w:val="28"/>
          <w:lang w:val="en-US" w:eastAsia="zh-CN" w:bidi="ar-SA"/>
        </w:rPr>
        <w:t>3%</w:t>
      </w:r>
      <m:oMath>
        <m:r>
          <m:rPr>
            <m:sty m:val="p"/>
          </m:rPr>
          <w:rPr>
            <w:rFonts w:hint="eastAsia" w:ascii="Cambria Math" w:hAnsi="Cambria Math" w:eastAsia="宋体" w:cs="宋体"/>
            <w:sz w:val="28"/>
            <w:szCs w:val="28"/>
            <w:lang w:val="en-US" w:eastAsia="zh-CN"/>
          </w:rPr>
          <m:t>×</m:t>
        </m:r>
      </m:oMath>
      <w:r>
        <w:rPr>
          <w:rFonts w:hint="eastAsia" w:ascii="宋体" w:hAnsi="宋体" w:eastAsia="宋体" w:cs="宋体"/>
          <w:kern w:val="2"/>
          <w:sz w:val="28"/>
          <w:szCs w:val="28"/>
          <w:lang w:val="en-US" w:eastAsia="zh-CN" w:bidi="ar-SA"/>
        </w:rPr>
        <w:t>（1-效益审计费下浮率）-考核金额。</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根据《四川省工程造价咨询服务收费标准》，审计费用以单项工程为计算基础，凡单项费用金额低于人民币3000元，按3000元计算。</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（2）服务时限：服务期限一年，服务期满经审计处考核合格可以续签合同一年，合同一年一签，续签次数不超过2次（本项目服务期限不超过3年）。</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（3）交货时间及地点：按照采购人的时间、地点要求，提交审计取证单、审计工作底稿、审计报告及审计档案资料。</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（4）成果提交期限：从每个项目资料移交开始到出具审计报告结束，具体时间以采购人要求为准。</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（5）付款方式：供应商向采购人出具审计报告，经采购人审核并正式对外出具审计报告后，采购人根据合同约定支付审计费用。</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（6）验收标准：按照国家和行业相关质量标准和规范要求进行验收。</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7）为更好地使用财政资金、节约采购成本，方便采购人与供应商工作往来，要求供应商承诺中标后在达州市通川区或达川区或高新区所在地具有开展工程结算审计服务的固定办公营业场所（投标时提供承诺函，格式自拟）。</w:t>
      </w:r>
    </w:p>
    <w:p>
      <w:pPr>
        <w:keepNext w:val="0"/>
        <w:keepLines w:val="0"/>
        <w:pageBreakBefore w:val="0"/>
        <w:numPr>
          <w:ilvl w:val="0"/>
          <w:numId w:val="0"/>
        </w:numPr>
        <w:kinsoku/>
        <w:wordWrap/>
        <w:overflowPunct/>
        <w:topLinePunct w:val="0"/>
        <w:autoSpaceDE/>
        <w:autoSpaceDN/>
        <w:bidi w:val="0"/>
        <w:adjustRightInd/>
        <w:spacing w:line="578" w:lineRule="exact"/>
        <w:ind w:firstLine="281" w:firstLineChars="100"/>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eastAsia="zh-CN"/>
        </w:rPr>
        <w:t>（</w:t>
      </w:r>
      <w:r>
        <w:rPr>
          <w:rFonts w:hint="eastAsia" w:ascii="宋体" w:hAnsi="宋体" w:eastAsia="宋体" w:cs="宋体"/>
          <w:b/>
          <w:sz w:val="28"/>
          <w:szCs w:val="28"/>
          <w:lang w:val="en-US" w:eastAsia="zh-CN"/>
        </w:rPr>
        <w:t>三）询价评价办法</w:t>
      </w:r>
    </w:p>
    <w:p>
      <w:pPr>
        <w:keepNext w:val="0"/>
        <w:keepLines w:val="0"/>
        <w:pageBreakBefore w:val="0"/>
        <w:widowControl w:val="0"/>
        <w:kinsoku/>
        <w:wordWrap/>
        <w:overflowPunct/>
        <w:topLinePunct w:val="0"/>
        <w:autoSpaceDE/>
        <w:autoSpaceDN/>
        <w:bidi w:val="0"/>
        <w:adjustRightInd/>
        <w:snapToGrid w:val="0"/>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供应商报价基本审计费和效益审计费以整体下浮率（百分比）的形式报价，报价下浮率最高供应商中标。如出现最高下浮率报价相同，则采取抽签方式确定。</w:t>
      </w:r>
    </w:p>
    <w:p>
      <w:pPr>
        <w:keepNext w:val="0"/>
        <w:keepLines w:val="0"/>
        <w:pageBreakBefore w:val="0"/>
        <w:numPr>
          <w:ilvl w:val="0"/>
          <w:numId w:val="0"/>
        </w:numPr>
        <w:kinsoku/>
        <w:wordWrap/>
        <w:overflowPunct/>
        <w:topLinePunct w:val="0"/>
        <w:autoSpaceDE/>
        <w:autoSpaceDN/>
        <w:bidi w:val="0"/>
        <w:adjustRightInd/>
        <w:spacing w:line="578" w:lineRule="exact"/>
        <w:textAlignment w:val="auto"/>
        <w:rPr>
          <w:rFonts w:hint="eastAsia" w:ascii="宋体" w:hAnsi="宋体" w:eastAsia="宋体" w:cs="宋体"/>
          <w:sz w:val="28"/>
          <w:szCs w:val="28"/>
        </w:rPr>
      </w:pPr>
      <w:bookmarkStart w:id="5" w:name="_Toc7355295"/>
      <w:r>
        <w:rPr>
          <w:rFonts w:hint="eastAsia" w:ascii="宋体" w:hAnsi="宋体" w:eastAsia="宋体" w:cs="宋体"/>
          <w:b/>
          <w:bCs/>
          <w:sz w:val="28"/>
          <w:szCs w:val="28"/>
          <w:lang w:val="en-US" w:eastAsia="zh-CN"/>
        </w:rPr>
        <w:t>二、供应商资格资质性及其他类似效力要求与应提供的相关证明材料</w:t>
      </w:r>
      <w:bookmarkEnd w:id="5"/>
      <w:bookmarkStart w:id="6" w:name="EB35ffff350b00459a98153f69abfded4c"/>
    </w:p>
    <w:tbl>
      <w:tblPr>
        <w:tblStyle w:val="34"/>
        <w:tblW w:w="99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534"/>
        <w:gridCol w:w="3668"/>
        <w:gridCol w:w="4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vAlign w:val="center"/>
          </w:tcPr>
          <w:p>
            <w:pPr>
              <w:keepNext w:val="0"/>
              <w:keepLines w:val="0"/>
              <w:pageBreakBefore w:val="0"/>
              <w:widowControl w:val="0"/>
              <w:kinsoku/>
              <w:wordWrap/>
              <w:overflowPunct/>
              <w:topLinePunct w:val="0"/>
              <w:autoSpaceDE/>
              <w:autoSpaceDN/>
              <w:bidi w:val="0"/>
              <w:adjustRightInd/>
              <w:spacing w:after="180" w:line="578" w:lineRule="exact"/>
              <w:ind w:firstLine="0"/>
              <w:jc w:val="center"/>
              <w:textAlignment w:val="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序号</w:t>
            </w:r>
          </w:p>
        </w:tc>
        <w:tc>
          <w:tcPr>
            <w:tcW w:w="4202" w:type="dxa"/>
            <w:gridSpan w:val="2"/>
            <w:vAlign w:val="center"/>
          </w:tcPr>
          <w:p>
            <w:pPr>
              <w:keepNext w:val="0"/>
              <w:keepLines w:val="0"/>
              <w:pageBreakBefore w:val="0"/>
              <w:widowControl w:val="0"/>
              <w:kinsoku/>
              <w:wordWrap/>
              <w:overflowPunct/>
              <w:topLinePunct w:val="0"/>
              <w:autoSpaceDE/>
              <w:autoSpaceDN/>
              <w:bidi w:val="0"/>
              <w:adjustRightInd/>
              <w:spacing w:after="180" w:line="578" w:lineRule="exact"/>
              <w:ind w:firstLine="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b/>
                <w:kern w:val="2"/>
                <w:sz w:val="28"/>
                <w:szCs w:val="28"/>
                <w:lang w:val="en-US" w:eastAsia="zh-CN" w:bidi="ar-SA"/>
              </w:rPr>
              <w:t>供应商、投标服务/产品资格资质性及其他类似效力要求</w:t>
            </w:r>
          </w:p>
        </w:tc>
        <w:tc>
          <w:tcPr>
            <w:tcW w:w="4944" w:type="dxa"/>
            <w:vAlign w:val="center"/>
          </w:tcPr>
          <w:p>
            <w:pPr>
              <w:keepNext w:val="0"/>
              <w:keepLines w:val="0"/>
              <w:pageBreakBefore w:val="0"/>
              <w:widowControl w:val="0"/>
              <w:kinsoku/>
              <w:wordWrap/>
              <w:overflowPunct/>
              <w:topLinePunct w:val="0"/>
              <w:autoSpaceDE/>
              <w:autoSpaceDN/>
              <w:bidi w:val="0"/>
              <w:adjustRightInd/>
              <w:spacing w:after="180" w:line="578" w:lineRule="exact"/>
              <w:ind w:firstLine="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b/>
                <w:kern w:val="2"/>
                <w:sz w:val="28"/>
                <w:szCs w:val="28"/>
                <w:lang w:val="en-US" w:eastAsia="zh-CN" w:bidi="ar-SA"/>
              </w:rPr>
              <w:t>要求提供的相关证明材料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816" w:type="dxa"/>
            <w:vMerge w:val="restart"/>
            <w:vAlign w:val="center"/>
          </w:tcPr>
          <w:p>
            <w:pPr>
              <w:keepNext w:val="0"/>
              <w:keepLines w:val="0"/>
              <w:pageBreakBefore w:val="0"/>
              <w:widowControl w:val="0"/>
              <w:kinsoku/>
              <w:wordWrap/>
              <w:overflowPunct/>
              <w:topLinePunct w:val="0"/>
              <w:autoSpaceDE/>
              <w:autoSpaceDN/>
              <w:bidi w:val="0"/>
              <w:adjustRightInd/>
              <w:spacing w:line="578" w:lineRule="exact"/>
              <w:jc w:val="both"/>
              <w:textAlignment w:val="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投</w:t>
            </w:r>
          </w:p>
          <w:p>
            <w:pPr>
              <w:keepNext w:val="0"/>
              <w:keepLines w:val="0"/>
              <w:pageBreakBefore w:val="0"/>
              <w:widowControl w:val="0"/>
              <w:kinsoku/>
              <w:wordWrap/>
              <w:overflowPunct/>
              <w:topLinePunct w:val="0"/>
              <w:autoSpaceDE/>
              <w:autoSpaceDN/>
              <w:bidi w:val="0"/>
              <w:adjustRightInd/>
              <w:spacing w:line="578" w:lineRule="exact"/>
              <w:jc w:val="both"/>
              <w:textAlignment w:val="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标</w:t>
            </w:r>
          </w:p>
          <w:p>
            <w:pPr>
              <w:keepNext w:val="0"/>
              <w:keepLines w:val="0"/>
              <w:pageBreakBefore w:val="0"/>
              <w:widowControl w:val="0"/>
              <w:kinsoku/>
              <w:wordWrap/>
              <w:overflowPunct/>
              <w:topLinePunct w:val="0"/>
              <w:autoSpaceDE/>
              <w:autoSpaceDN/>
              <w:bidi w:val="0"/>
              <w:adjustRightInd/>
              <w:spacing w:line="578" w:lineRule="exact"/>
              <w:jc w:val="both"/>
              <w:textAlignment w:val="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人</w:t>
            </w:r>
          </w:p>
        </w:tc>
        <w:tc>
          <w:tcPr>
            <w:tcW w:w="534" w:type="dxa"/>
            <w:vMerge w:val="restart"/>
            <w:vAlign w:val="center"/>
          </w:tcPr>
          <w:p>
            <w:pPr>
              <w:keepNext w:val="0"/>
              <w:keepLines w:val="0"/>
              <w:pageBreakBefore w:val="0"/>
              <w:widowControl w:val="0"/>
              <w:kinsoku/>
              <w:wordWrap/>
              <w:overflowPunct/>
              <w:topLinePunct w:val="0"/>
              <w:autoSpaceDE/>
              <w:autoSpaceDN/>
              <w:bidi w:val="0"/>
              <w:adjustRightInd/>
              <w:spacing w:after="180" w:line="578" w:lineRule="exact"/>
              <w:ind w:firstLine="0"/>
              <w:jc w:val="center"/>
              <w:textAlignment w:val="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资</w:t>
            </w:r>
          </w:p>
          <w:p>
            <w:pPr>
              <w:keepNext w:val="0"/>
              <w:keepLines w:val="0"/>
              <w:pageBreakBefore w:val="0"/>
              <w:widowControl w:val="0"/>
              <w:kinsoku/>
              <w:wordWrap/>
              <w:overflowPunct/>
              <w:topLinePunct w:val="0"/>
              <w:autoSpaceDE/>
              <w:autoSpaceDN/>
              <w:bidi w:val="0"/>
              <w:adjustRightInd/>
              <w:spacing w:after="180" w:line="578" w:lineRule="exact"/>
              <w:ind w:firstLine="0"/>
              <w:jc w:val="center"/>
              <w:textAlignment w:val="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格</w:t>
            </w:r>
          </w:p>
          <w:p>
            <w:pPr>
              <w:keepNext w:val="0"/>
              <w:keepLines w:val="0"/>
              <w:pageBreakBefore w:val="0"/>
              <w:widowControl w:val="0"/>
              <w:kinsoku/>
              <w:wordWrap/>
              <w:overflowPunct/>
              <w:topLinePunct w:val="0"/>
              <w:autoSpaceDE/>
              <w:autoSpaceDN/>
              <w:bidi w:val="0"/>
              <w:adjustRightInd/>
              <w:spacing w:after="180" w:line="578" w:lineRule="exact"/>
              <w:ind w:firstLine="0"/>
              <w:jc w:val="center"/>
              <w:textAlignment w:val="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要</w:t>
            </w:r>
          </w:p>
          <w:p>
            <w:pPr>
              <w:keepNext w:val="0"/>
              <w:keepLines w:val="0"/>
              <w:pageBreakBefore w:val="0"/>
              <w:widowControl w:val="0"/>
              <w:kinsoku/>
              <w:wordWrap/>
              <w:overflowPunct/>
              <w:topLinePunct w:val="0"/>
              <w:autoSpaceDE/>
              <w:autoSpaceDN/>
              <w:bidi w:val="0"/>
              <w:adjustRightInd/>
              <w:spacing w:after="180" w:line="578" w:lineRule="exact"/>
              <w:ind w:firstLine="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b/>
                <w:kern w:val="2"/>
                <w:sz w:val="28"/>
                <w:szCs w:val="28"/>
                <w:lang w:val="en-US" w:eastAsia="zh-CN" w:bidi="ar-SA"/>
              </w:rPr>
              <w:t>求</w:t>
            </w:r>
          </w:p>
        </w:tc>
        <w:tc>
          <w:tcPr>
            <w:tcW w:w="3668" w:type="dxa"/>
            <w:tcBorders>
              <w:bottom w:val="single" w:color="auto" w:sz="4" w:space="0"/>
            </w:tcBorders>
            <w:vAlign w:val="center"/>
          </w:tcPr>
          <w:p>
            <w:pPr>
              <w:keepNext w:val="0"/>
              <w:keepLines w:val="0"/>
              <w:pageBreakBefore w:val="0"/>
              <w:widowControl/>
              <w:shd w:val="clear" w:color="auto" w:fill="FFFFFF"/>
              <w:kinsoku/>
              <w:wordWrap/>
              <w:overflowPunct/>
              <w:topLinePunct w:val="0"/>
              <w:autoSpaceDE/>
              <w:autoSpaceDN/>
              <w:bidi w:val="0"/>
              <w:adjustRightInd/>
              <w:snapToGrid/>
              <w:spacing w:before="100" w:beforeAutospacing="0" w:after="80" w:afterAutospacing="0" w:line="578" w:lineRule="exact"/>
              <w:jc w:val="left"/>
              <w:textAlignment w:val="auto"/>
              <w:rPr>
                <w:rFonts w:hint="eastAsia"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1、具有独立承担民事责任的能力。</w:t>
            </w:r>
          </w:p>
          <w:p>
            <w:pPr>
              <w:keepNext w:val="0"/>
              <w:keepLines w:val="0"/>
              <w:pageBreakBefore w:val="0"/>
              <w:widowControl w:val="0"/>
              <w:tabs>
                <w:tab w:val="left" w:pos="7665"/>
              </w:tabs>
              <w:kinsoku/>
              <w:wordWrap/>
              <w:overflowPunct/>
              <w:topLinePunct w:val="0"/>
              <w:autoSpaceDE/>
              <w:autoSpaceDN/>
              <w:bidi w:val="0"/>
              <w:adjustRightInd/>
              <w:snapToGrid/>
              <w:spacing w:line="578" w:lineRule="exact"/>
              <w:jc w:val="left"/>
              <w:textAlignment w:val="auto"/>
              <w:rPr>
                <w:rFonts w:hint="eastAsia" w:ascii="宋体" w:hAnsi="宋体" w:eastAsia="宋体" w:cs="宋体"/>
                <w:kern w:val="2"/>
                <w:sz w:val="28"/>
                <w:szCs w:val="28"/>
                <w:lang w:val="en-US" w:eastAsia="zh-CN" w:bidi="ar-SA"/>
              </w:rPr>
            </w:pPr>
          </w:p>
        </w:tc>
        <w:tc>
          <w:tcPr>
            <w:tcW w:w="4944" w:type="dxa"/>
            <w:tcBorders>
              <w:bottom w:val="single" w:color="auto" w:sz="4" w:space="0"/>
            </w:tcBorders>
          </w:tcPr>
          <w:p>
            <w:pPr>
              <w:keepNext w:val="0"/>
              <w:keepLines w:val="0"/>
              <w:pageBreakBefore w:val="0"/>
              <w:widowControl w:val="0"/>
              <w:kinsoku/>
              <w:wordWrap/>
              <w:overflowPunct/>
              <w:topLinePunct w:val="0"/>
              <w:autoSpaceDE/>
              <w:autoSpaceDN/>
              <w:bidi w:val="0"/>
              <w:adjustRightInd/>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（1）供应商为企业（包括合伙企业）、个体工商户的，提供工商营业执照、税务登记和组织机构代码证或提供由工商行政管理部门核发的法人和其他组织统一社会信用代码的营业执照（原件扫描件）；</w:t>
            </w:r>
          </w:p>
          <w:p>
            <w:pPr>
              <w:keepNext w:val="0"/>
              <w:keepLines w:val="0"/>
              <w:pageBreakBefore w:val="0"/>
              <w:widowControl w:val="0"/>
              <w:kinsoku/>
              <w:wordWrap/>
              <w:overflowPunct/>
              <w:topLinePunct w:val="0"/>
              <w:autoSpaceDE/>
              <w:autoSpaceDN/>
              <w:bidi w:val="0"/>
              <w:adjustRightInd/>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（2）供应商属于企业分支机构的，提供企业分支机构营业执照、税务登记和组织机构代码证或统一社会信用代码的营业执照（原件扫描件）；</w:t>
            </w:r>
          </w:p>
          <w:p>
            <w:pPr>
              <w:keepNext w:val="0"/>
              <w:keepLines w:val="0"/>
              <w:pageBreakBefore w:val="0"/>
              <w:widowControl w:val="0"/>
              <w:kinsoku/>
              <w:wordWrap/>
              <w:overflowPunct/>
              <w:topLinePunct w:val="0"/>
              <w:autoSpaceDE/>
              <w:autoSpaceDN/>
              <w:bidi w:val="0"/>
              <w:adjustRightInd/>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（3）供应商为其他组织的，提供合法的法人证书或执业许可证等证明文件</w:t>
            </w:r>
            <w:r>
              <w:rPr>
                <w:rFonts w:hint="eastAsia" w:ascii="宋体" w:hAnsi="宋体" w:eastAsia="宋体" w:cs="宋体"/>
                <w:color w:val="auto"/>
                <w:kern w:val="2"/>
                <w:sz w:val="28"/>
                <w:szCs w:val="28"/>
                <w:lang w:val="en-US" w:eastAsia="zh-CN" w:bidi="ar-SA"/>
              </w:rPr>
              <w:t>（原件扫描件）。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 w:hRule="atLeast"/>
          <w:jc w:val="center"/>
        </w:trPr>
        <w:tc>
          <w:tcPr>
            <w:tcW w:w="816" w:type="dxa"/>
            <w:vMerge w:val="continue"/>
          </w:tcPr>
          <w:p>
            <w:pPr>
              <w:keepNext w:val="0"/>
              <w:keepLines w:val="0"/>
              <w:pageBreakBefore w:val="0"/>
              <w:widowControl w:val="0"/>
              <w:kinsoku/>
              <w:wordWrap/>
              <w:overflowPunct/>
              <w:topLinePunct w:val="0"/>
              <w:autoSpaceDE/>
              <w:autoSpaceDN/>
              <w:bidi w:val="0"/>
              <w:adjustRightInd/>
              <w:spacing w:line="578" w:lineRule="exact"/>
              <w:ind w:left="420"/>
              <w:jc w:val="both"/>
              <w:textAlignment w:val="auto"/>
              <w:rPr>
                <w:rFonts w:hint="eastAsia" w:ascii="宋体" w:hAnsi="宋体" w:eastAsia="宋体" w:cs="宋体"/>
                <w:b/>
                <w:kern w:val="2"/>
                <w:sz w:val="28"/>
                <w:szCs w:val="28"/>
                <w:lang w:val="en-US" w:eastAsia="zh-CN" w:bidi="ar-SA"/>
              </w:rPr>
            </w:pPr>
          </w:p>
        </w:tc>
        <w:tc>
          <w:tcPr>
            <w:tcW w:w="534" w:type="dxa"/>
            <w:vMerge w:val="continue"/>
          </w:tcPr>
          <w:p>
            <w:pPr>
              <w:keepNext w:val="0"/>
              <w:keepLines w:val="0"/>
              <w:pageBreakBefore w:val="0"/>
              <w:widowControl w:val="0"/>
              <w:kinsoku/>
              <w:wordWrap/>
              <w:overflowPunct/>
              <w:topLinePunct w:val="0"/>
              <w:autoSpaceDE/>
              <w:autoSpaceDN/>
              <w:bidi w:val="0"/>
              <w:adjustRightInd/>
              <w:spacing w:after="180" w:line="578" w:lineRule="exact"/>
              <w:ind w:firstLine="0"/>
              <w:jc w:val="both"/>
              <w:textAlignment w:val="auto"/>
              <w:rPr>
                <w:rFonts w:hint="eastAsia" w:ascii="宋体" w:hAnsi="宋体" w:eastAsia="宋体" w:cs="宋体"/>
                <w:b/>
                <w:kern w:val="2"/>
                <w:sz w:val="28"/>
                <w:szCs w:val="28"/>
                <w:lang w:val="en-US" w:eastAsia="zh-CN" w:bidi="ar-SA"/>
              </w:rPr>
            </w:pPr>
          </w:p>
        </w:tc>
        <w:tc>
          <w:tcPr>
            <w:tcW w:w="3668" w:type="dxa"/>
            <w:vAlign w:val="center"/>
          </w:tcPr>
          <w:p>
            <w:pPr>
              <w:keepNext w:val="0"/>
              <w:keepLines w:val="0"/>
              <w:pageBreakBefore w:val="0"/>
              <w:widowControl w:val="0"/>
              <w:tabs>
                <w:tab w:val="left" w:pos="7665"/>
              </w:tabs>
              <w:kinsoku/>
              <w:wordWrap/>
              <w:overflowPunct/>
              <w:topLinePunct w:val="0"/>
              <w:autoSpaceDE/>
              <w:autoSpaceDN/>
              <w:bidi w:val="0"/>
              <w:adjustRightInd/>
              <w:snapToGrid/>
              <w:spacing w:line="578" w:lineRule="exact"/>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2、具有良好的商业信誉和健全的财务会计制度；</w:t>
            </w:r>
          </w:p>
        </w:tc>
        <w:tc>
          <w:tcPr>
            <w:tcW w:w="4944" w:type="dxa"/>
          </w:tcPr>
          <w:p>
            <w:pPr>
              <w:keepNext w:val="0"/>
              <w:keepLines w:val="0"/>
              <w:pageBreakBefore w:val="0"/>
              <w:widowControl w:val="0"/>
              <w:kinsoku/>
              <w:wordWrap/>
              <w:overflowPunct/>
              <w:topLinePunct w:val="0"/>
              <w:autoSpaceDE/>
              <w:autoSpaceDN/>
              <w:bidi w:val="0"/>
              <w:adjustRightInd/>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zh-CN" w:eastAsia="zh-CN" w:bidi="ar-SA"/>
              </w:rPr>
              <w:t>供应商具有良好的商业信誉（在参加政府采购活动时做出承诺，</w:t>
            </w:r>
            <w:r>
              <w:rPr>
                <w:rFonts w:hint="eastAsia" w:ascii="宋体" w:hAnsi="宋体" w:eastAsia="宋体" w:cs="宋体"/>
                <w:kern w:val="2"/>
                <w:sz w:val="28"/>
                <w:szCs w:val="28"/>
                <w:lang w:val="en-US" w:eastAsia="zh-CN" w:bidi="ar-SA"/>
              </w:rPr>
              <w:t>提供</w:t>
            </w:r>
            <w:r>
              <w:rPr>
                <w:rFonts w:hint="eastAsia" w:ascii="宋体" w:hAnsi="宋体" w:eastAsia="宋体" w:cs="宋体"/>
                <w:color w:val="auto"/>
                <w:kern w:val="2"/>
                <w:sz w:val="28"/>
                <w:szCs w:val="28"/>
                <w:lang w:val="zh-CN" w:eastAsia="zh-CN" w:bidi="ar-SA"/>
              </w:rPr>
              <w:t>“承诺函”</w:t>
            </w:r>
            <w:r>
              <w:rPr>
                <w:rFonts w:hint="eastAsia" w:ascii="宋体" w:hAnsi="宋体" w:eastAsia="宋体" w:cs="宋体"/>
                <w:color w:val="auto"/>
                <w:kern w:val="2"/>
                <w:sz w:val="28"/>
                <w:szCs w:val="28"/>
                <w:lang w:val="en-US" w:eastAsia="zh-CN" w:bidi="ar-SA"/>
              </w:rPr>
              <w:t>并加盖公章</w:t>
            </w:r>
            <w:r>
              <w:rPr>
                <w:rFonts w:hint="eastAsia" w:ascii="宋体" w:hAnsi="宋体" w:eastAsia="宋体" w:cs="宋体"/>
                <w:color w:val="auto"/>
                <w:kern w:val="2"/>
                <w:sz w:val="28"/>
                <w:szCs w:val="28"/>
                <w:lang w:val="zh-CN" w:eastAsia="zh-CN" w:bidi="ar-SA"/>
              </w:rPr>
              <w:t>）；健全的财务</w:t>
            </w:r>
            <w:r>
              <w:rPr>
                <w:rFonts w:hint="eastAsia" w:ascii="宋体" w:hAnsi="宋体" w:eastAsia="宋体" w:cs="宋体"/>
                <w:kern w:val="2"/>
                <w:sz w:val="28"/>
                <w:szCs w:val="28"/>
                <w:lang w:val="zh-CN" w:eastAsia="zh-CN" w:bidi="ar-SA"/>
              </w:rPr>
              <w:t>会计制度</w:t>
            </w:r>
            <w:r>
              <w:rPr>
                <w:rFonts w:hint="eastAsia" w:ascii="宋体" w:hAnsi="宋体" w:eastAsia="宋体" w:cs="宋体"/>
                <w:kern w:val="2"/>
                <w:sz w:val="28"/>
                <w:szCs w:val="28"/>
                <w:lang w:val="en-US" w:eastAsia="zh-CN" w:bidi="ar-SA"/>
              </w:rPr>
              <w:t>(只需要具备下列之一)</w:t>
            </w:r>
            <w:r>
              <w:rPr>
                <w:rFonts w:hint="eastAsia" w:ascii="宋体" w:hAnsi="宋体" w:eastAsia="宋体" w:cs="宋体"/>
                <w:kern w:val="2"/>
                <w:sz w:val="28"/>
                <w:szCs w:val="28"/>
                <w:lang w:val="zh-CN" w:eastAsia="zh-CN" w:bidi="ar-SA"/>
              </w:rPr>
              <w:t>：</w:t>
            </w:r>
          </w:p>
          <w:p>
            <w:pPr>
              <w:keepNext w:val="0"/>
              <w:keepLines w:val="0"/>
              <w:pageBreakBefore w:val="0"/>
              <w:widowControl w:val="0"/>
              <w:kinsoku/>
              <w:wordWrap/>
              <w:overflowPunct/>
              <w:topLinePunct w:val="0"/>
              <w:autoSpaceDE/>
              <w:autoSpaceDN/>
              <w:bidi w:val="0"/>
              <w:adjustRightInd/>
              <w:spacing w:line="578" w:lineRule="exact"/>
              <w:ind w:firstLine="560" w:firstLineChars="200"/>
              <w:jc w:val="both"/>
              <w:textAlignment w:val="auto"/>
              <w:rPr>
                <w:rFonts w:hint="eastAsia" w:ascii="宋体" w:hAnsi="宋体" w:eastAsia="宋体" w:cs="宋体"/>
                <w:kern w:val="2"/>
                <w:sz w:val="28"/>
                <w:szCs w:val="28"/>
                <w:lang w:val="zh-CN" w:eastAsia="zh-CN" w:bidi="ar-SA"/>
              </w:rPr>
            </w:pPr>
            <w:r>
              <w:rPr>
                <w:rFonts w:hint="eastAsia" w:ascii="宋体" w:hAnsi="宋体" w:eastAsia="宋体" w:cs="宋体"/>
                <w:kern w:val="2"/>
                <w:sz w:val="28"/>
                <w:szCs w:val="28"/>
                <w:lang w:val="zh-CN" w:eastAsia="zh-CN" w:bidi="ar-SA"/>
              </w:rPr>
              <w:t>（1）供应商是法人的，提供经审计的财务报告，应当提供：资产负债表、利润表、现金流量表、所有者权益变动表及其附注，或基本开户银行出具的资信证明。</w:t>
            </w:r>
          </w:p>
          <w:p>
            <w:pPr>
              <w:keepNext w:val="0"/>
              <w:keepLines w:val="0"/>
              <w:pageBreakBefore w:val="0"/>
              <w:widowControl w:val="0"/>
              <w:kinsoku/>
              <w:wordWrap/>
              <w:overflowPunct/>
              <w:topLinePunct w:val="0"/>
              <w:autoSpaceDE/>
              <w:autoSpaceDN/>
              <w:bidi w:val="0"/>
              <w:adjustRightInd/>
              <w:spacing w:line="578" w:lineRule="exact"/>
              <w:ind w:firstLine="560" w:firstLineChars="200"/>
              <w:jc w:val="both"/>
              <w:textAlignment w:val="auto"/>
              <w:rPr>
                <w:rFonts w:hint="eastAsia" w:ascii="宋体" w:hAnsi="宋体" w:eastAsia="宋体" w:cs="宋体"/>
                <w:kern w:val="2"/>
                <w:sz w:val="28"/>
                <w:szCs w:val="28"/>
                <w:lang w:val="zh-CN" w:eastAsia="zh-CN" w:bidi="ar-SA"/>
              </w:rPr>
            </w:pPr>
            <w:r>
              <w:rPr>
                <w:rFonts w:hint="eastAsia" w:ascii="宋体" w:hAnsi="宋体" w:eastAsia="宋体" w:cs="宋体"/>
                <w:kern w:val="2"/>
                <w:sz w:val="28"/>
                <w:szCs w:val="28"/>
                <w:lang w:val="zh-CN" w:eastAsia="zh-CN" w:bidi="ar-SA"/>
              </w:rPr>
              <w:t>（2）部分其他组织可以提供银行出具的资信证明。</w:t>
            </w:r>
          </w:p>
          <w:p>
            <w:pPr>
              <w:keepNext w:val="0"/>
              <w:keepLines w:val="0"/>
              <w:pageBreakBefore w:val="0"/>
              <w:widowControl w:val="0"/>
              <w:kinsoku/>
              <w:wordWrap/>
              <w:overflowPunct/>
              <w:topLinePunct w:val="0"/>
              <w:autoSpaceDE/>
              <w:autoSpaceDN/>
              <w:bidi w:val="0"/>
              <w:adjustRightInd/>
              <w:spacing w:line="578" w:lineRule="exact"/>
              <w:ind w:firstLine="560" w:firstLineChars="200"/>
              <w:jc w:val="both"/>
              <w:textAlignment w:val="auto"/>
              <w:rPr>
                <w:rFonts w:hint="eastAsia" w:ascii="宋体" w:hAnsi="宋体" w:eastAsia="宋体" w:cs="宋体"/>
                <w:kern w:val="2"/>
                <w:sz w:val="28"/>
                <w:szCs w:val="28"/>
                <w:lang w:val="zh-CN" w:eastAsia="zh-CN" w:bidi="ar-SA"/>
              </w:rPr>
            </w:pPr>
            <w:r>
              <w:rPr>
                <w:rFonts w:hint="eastAsia" w:ascii="宋体" w:hAnsi="宋体" w:eastAsia="宋体" w:cs="宋体"/>
                <w:kern w:val="2"/>
                <w:sz w:val="28"/>
                <w:szCs w:val="28"/>
                <w:lang w:val="zh-CN" w:eastAsia="zh-CN" w:bidi="ar-SA"/>
              </w:rPr>
              <w:t>（3）供应商也可提供财政部门认可的政府采购专业担保机构出具的投标担保函（扫描件）</w:t>
            </w:r>
          </w:p>
          <w:p>
            <w:pPr>
              <w:keepNext w:val="0"/>
              <w:keepLines w:val="0"/>
              <w:pageBreakBefore w:val="0"/>
              <w:widowControl w:val="0"/>
              <w:kinsoku/>
              <w:wordWrap/>
              <w:overflowPunct/>
              <w:topLinePunct w:val="0"/>
              <w:autoSpaceDE/>
              <w:autoSpaceDN/>
              <w:bidi w:val="0"/>
              <w:adjustRightInd/>
              <w:spacing w:line="578" w:lineRule="exact"/>
              <w:ind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zh-CN" w:eastAsia="zh-CN" w:bidi="ar-SA"/>
              </w:rPr>
              <w:t>（</w:t>
            </w:r>
            <w:r>
              <w:rPr>
                <w:rFonts w:hint="eastAsia" w:ascii="宋体" w:hAnsi="宋体" w:eastAsia="宋体" w:cs="宋体"/>
                <w:kern w:val="2"/>
                <w:sz w:val="28"/>
                <w:szCs w:val="28"/>
                <w:lang w:val="en-US" w:eastAsia="zh-CN" w:bidi="ar-SA"/>
              </w:rPr>
              <w:t>4</w:t>
            </w:r>
            <w:r>
              <w:rPr>
                <w:rFonts w:hint="eastAsia" w:ascii="宋体" w:hAnsi="宋体" w:eastAsia="宋体" w:cs="宋体"/>
                <w:kern w:val="2"/>
                <w:sz w:val="28"/>
                <w:szCs w:val="28"/>
                <w:lang w:val="zh-CN" w:eastAsia="zh-CN" w:bidi="ar-SA"/>
              </w:rPr>
              <w:t>）提供健全的财务管理制度（扫描件）</w:t>
            </w:r>
            <w:r>
              <w:rPr>
                <w:rFonts w:hint="eastAsia" w:ascii="宋体" w:hAnsi="宋体" w:eastAsia="宋体" w:cs="宋体"/>
                <w:kern w:val="2"/>
                <w:sz w:val="28"/>
                <w:szCs w:val="28"/>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 w:hRule="atLeast"/>
          <w:jc w:val="center"/>
        </w:trPr>
        <w:tc>
          <w:tcPr>
            <w:tcW w:w="816" w:type="dxa"/>
            <w:vMerge w:val="continue"/>
          </w:tcPr>
          <w:p>
            <w:pPr>
              <w:keepNext w:val="0"/>
              <w:keepLines w:val="0"/>
              <w:pageBreakBefore w:val="0"/>
              <w:widowControl w:val="0"/>
              <w:kinsoku/>
              <w:wordWrap/>
              <w:overflowPunct/>
              <w:topLinePunct w:val="0"/>
              <w:autoSpaceDE/>
              <w:autoSpaceDN/>
              <w:bidi w:val="0"/>
              <w:adjustRightInd/>
              <w:spacing w:line="578" w:lineRule="exact"/>
              <w:ind w:left="420"/>
              <w:jc w:val="both"/>
              <w:textAlignment w:val="auto"/>
              <w:rPr>
                <w:rFonts w:hint="eastAsia" w:ascii="宋体" w:hAnsi="宋体" w:eastAsia="宋体" w:cs="宋体"/>
                <w:b/>
                <w:kern w:val="2"/>
                <w:sz w:val="28"/>
                <w:szCs w:val="28"/>
                <w:lang w:val="en-US" w:eastAsia="zh-CN" w:bidi="ar-SA"/>
              </w:rPr>
            </w:pPr>
          </w:p>
        </w:tc>
        <w:tc>
          <w:tcPr>
            <w:tcW w:w="534" w:type="dxa"/>
            <w:vMerge w:val="continue"/>
          </w:tcPr>
          <w:p>
            <w:pPr>
              <w:keepNext w:val="0"/>
              <w:keepLines w:val="0"/>
              <w:pageBreakBefore w:val="0"/>
              <w:widowControl w:val="0"/>
              <w:kinsoku/>
              <w:wordWrap/>
              <w:overflowPunct/>
              <w:topLinePunct w:val="0"/>
              <w:autoSpaceDE/>
              <w:autoSpaceDN/>
              <w:bidi w:val="0"/>
              <w:adjustRightInd/>
              <w:spacing w:after="180" w:line="578" w:lineRule="exact"/>
              <w:ind w:firstLine="0"/>
              <w:jc w:val="both"/>
              <w:textAlignment w:val="auto"/>
              <w:rPr>
                <w:rFonts w:hint="eastAsia" w:ascii="宋体" w:hAnsi="宋体" w:eastAsia="宋体" w:cs="宋体"/>
                <w:b/>
                <w:kern w:val="2"/>
                <w:sz w:val="28"/>
                <w:szCs w:val="28"/>
                <w:lang w:val="en-US" w:eastAsia="zh-CN" w:bidi="ar-SA"/>
              </w:rPr>
            </w:pPr>
          </w:p>
        </w:tc>
        <w:tc>
          <w:tcPr>
            <w:tcW w:w="3668" w:type="dxa"/>
            <w:vAlign w:val="center"/>
          </w:tcPr>
          <w:p>
            <w:pPr>
              <w:keepNext w:val="0"/>
              <w:keepLines w:val="0"/>
              <w:pageBreakBefore w:val="0"/>
              <w:widowControl w:val="0"/>
              <w:tabs>
                <w:tab w:val="left" w:pos="7665"/>
              </w:tabs>
              <w:kinsoku/>
              <w:wordWrap/>
              <w:overflowPunct/>
              <w:topLinePunct w:val="0"/>
              <w:autoSpaceDE/>
              <w:autoSpaceDN/>
              <w:bidi w:val="0"/>
              <w:adjustRightInd/>
              <w:snapToGrid/>
              <w:spacing w:line="578" w:lineRule="exact"/>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3、具有履行合同所必须的设备和专业技术能力；</w:t>
            </w:r>
          </w:p>
        </w:tc>
        <w:tc>
          <w:tcPr>
            <w:tcW w:w="4944" w:type="dxa"/>
          </w:tcPr>
          <w:p>
            <w:pPr>
              <w:keepNext w:val="0"/>
              <w:keepLines w:val="0"/>
              <w:pageBreakBefore w:val="0"/>
              <w:widowControl/>
              <w:kinsoku/>
              <w:wordWrap/>
              <w:overflowPunct/>
              <w:topLinePunct w:val="0"/>
              <w:autoSpaceDE/>
              <w:autoSpaceDN/>
              <w:bidi w:val="0"/>
              <w:adjustRightInd/>
              <w:spacing w:line="578" w:lineRule="exact"/>
              <w:ind w:left="0" w:leftChars="0" w:firstLine="528" w:firstLineChars="200"/>
              <w:jc w:val="left"/>
              <w:textAlignment w:val="auto"/>
              <w:rPr>
                <w:rFonts w:hint="eastAsia" w:ascii="宋体" w:hAnsi="宋体" w:eastAsia="宋体" w:cs="宋体"/>
                <w:b/>
                <w:color w:val="auto"/>
                <w:kern w:val="2"/>
                <w:sz w:val="28"/>
                <w:szCs w:val="28"/>
                <w:lang w:val="en-US" w:eastAsia="zh-CN" w:bidi="ar-SA"/>
              </w:rPr>
            </w:pPr>
            <w:r>
              <w:rPr>
                <w:rFonts w:hint="eastAsia" w:ascii="宋体" w:hAnsi="宋体" w:eastAsia="宋体" w:cs="宋体"/>
                <w:color w:val="auto"/>
                <w:spacing w:val="-8"/>
                <w:kern w:val="2"/>
                <w:sz w:val="28"/>
                <w:szCs w:val="28"/>
                <w:lang w:val="en-US" w:eastAsia="zh-CN" w:bidi="ar-SA"/>
              </w:rPr>
              <w:t>供应商在参加政府采购活动时</w:t>
            </w:r>
            <w:r>
              <w:rPr>
                <w:rFonts w:hint="eastAsia" w:ascii="宋体" w:hAnsi="宋体" w:eastAsia="宋体" w:cs="宋体"/>
                <w:color w:val="auto"/>
                <w:kern w:val="2"/>
                <w:sz w:val="28"/>
                <w:szCs w:val="28"/>
                <w:lang w:val="en-US" w:eastAsia="zh-CN" w:bidi="ar-SA"/>
              </w:rPr>
              <w:t>做出承诺（提供“承诺函”并加盖公章）。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 w:hRule="atLeast"/>
          <w:jc w:val="center"/>
        </w:trPr>
        <w:tc>
          <w:tcPr>
            <w:tcW w:w="816" w:type="dxa"/>
            <w:vMerge w:val="continue"/>
          </w:tcPr>
          <w:p>
            <w:pPr>
              <w:keepNext w:val="0"/>
              <w:keepLines w:val="0"/>
              <w:pageBreakBefore w:val="0"/>
              <w:widowControl w:val="0"/>
              <w:kinsoku/>
              <w:wordWrap/>
              <w:overflowPunct/>
              <w:topLinePunct w:val="0"/>
              <w:autoSpaceDE/>
              <w:autoSpaceDN/>
              <w:bidi w:val="0"/>
              <w:adjustRightInd/>
              <w:spacing w:line="578" w:lineRule="exact"/>
              <w:ind w:left="420"/>
              <w:jc w:val="both"/>
              <w:textAlignment w:val="auto"/>
              <w:rPr>
                <w:rFonts w:hint="eastAsia" w:ascii="宋体" w:hAnsi="宋体" w:eastAsia="宋体" w:cs="宋体"/>
                <w:b/>
                <w:kern w:val="2"/>
                <w:sz w:val="28"/>
                <w:szCs w:val="28"/>
                <w:lang w:val="en-US" w:eastAsia="zh-CN" w:bidi="ar-SA"/>
              </w:rPr>
            </w:pPr>
          </w:p>
        </w:tc>
        <w:tc>
          <w:tcPr>
            <w:tcW w:w="534" w:type="dxa"/>
            <w:vMerge w:val="continue"/>
          </w:tcPr>
          <w:p>
            <w:pPr>
              <w:keepNext w:val="0"/>
              <w:keepLines w:val="0"/>
              <w:pageBreakBefore w:val="0"/>
              <w:widowControl w:val="0"/>
              <w:kinsoku/>
              <w:wordWrap/>
              <w:overflowPunct/>
              <w:topLinePunct w:val="0"/>
              <w:autoSpaceDE/>
              <w:autoSpaceDN/>
              <w:bidi w:val="0"/>
              <w:adjustRightInd/>
              <w:spacing w:after="180" w:line="578" w:lineRule="exact"/>
              <w:ind w:firstLine="0"/>
              <w:jc w:val="both"/>
              <w:textAlignment w:val="auto"/>
              <w:rPr>
                <w:rFonts w:hint="eastAsia" w:ascii="宋体" w:hAnsi="宋体" w:eastAsia="宋体" w:cs="宋体"/>
                <w:b/>
                <w:kern w:val="2"/>
                <w:sz w:val="28"/>
                <w:szCs w:val="28"/>
                <w:lang w:val="en-US" w:eastAsia="zh-CN" w:bidi="ar-SA"/>
              </w:rPr>
            </w:pPr>
          </w:p>
        </w:tc>
        <w:tc>
          <w:tcPr>
            <w:tcW w:w="3668" w:type="dxa"/>
            <w:vAlign w:val="center"/>
          </w:tcPr>
          <w:p>
            <w:pPr>
              <w:keepNext w:val="0"/>
              <w:keepLines w:val="0"/>
              <w:pageBreakBefore w:val="0"/>
              <w:widowControl w:val="0"/>
              <w:tabs>
                <w:tab w:val="left" w:pos="7665"/>
              </w:tabs>
              <w:kinsoku/>
              <w:wordWrap/>
              <w:overflowPunct/>
              <w:topLinePunct w:val="0"/>
              <w:autoSpaceDE/>
              <w:autoSpaceDN/>
              <w:bidi w:val="0"/>
              <w:adjustRightInd/>
              <w:snapToGrid/>
              <w:spacing w:line="578" w:lineRule="exact"/>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4、具有依法缴纳税收和社会保障资金的良好记录；</w:t>
            </w:r>
          </w:p>
        </w:tc>
        <w:tc>
          <w:tcPr>
            <w:tcW w:w="4944" w:type="dxa"/>
          </w:tcPr>
          <w:p>
            <w:pPr>
              <w:keepNext w:val="0"/>
              <w:keepLines w:val="0"/>
              <w:pageBreakBefore w:val="0"/>
              <w:widowControl/>
              <w:kinsoku/>
              <w:wordWrap/>
              <w:overflowPunct/>
              <w:topLinePunct w:val="0"/>
              <w:autoSpaceDE/>
              <w:autoSpaceDN/>
              <w:bidi w:val="0"/>
              <w:adjustRightInd/>
              <w:spacing w:line="578" w:lineRule="exact"/>
              <w:ind w:left="0" w:leftChars="0" w:firstLine="528" w:firstLineChars="200"/>
              <w:jc w:val="both"/>
              <w:textAlignment w:val="auto"/>
              <w:rPr>
                <w:rFonts w:hint="eastAsia" w:ascii="宋体" w:hAnsi="宋体" w:eastAsia="宋体" w:cs="宋体"/>
                <w:spacing w:val="-8"/>
                <w:kern w:val="2"/>
                <w:sz w:val="28"/>
                <w:szCs w:val="28"/>
                <w:lang w:val="en-US" w:eastAsia="zh-CN" w:bidi="ar-SA"/>
              </w:rPr>
            </w:pPr>
            <w:r>
              <w:rPr>
                <w:rFonts w:hint="eastAsia" w:ascii="宋体" w:hAnsi="宋体" w:eastAsia="宋体" w:cs="宋体"/>
                <w:spacing w:val="-8"/>
                <w:kern w:val="2"/>
                <w:sz w:val="28"/>
                <w:szCs w:val="28"/>
                <w:lang w:val="en-US" w:eastAsia="zh-CN" w:bidi="ar-SA"/>
              </w:rPr>
              <w:t>供应商可提供近一年内任意3个月的缴纳税收的银行电子回单（票据）或者税务部门出具的纳税证明扫描</w:t>
            </w:r>
            <w:r>
              <w:rPr>
                <w:rFonts w:hint="eastAsia" w:ascii="宋体" w:hAnsi="宋体" w:eastAsia="宋体" w:cs="宋体"/>
                <w:color w:val="auto"/>
                <w:spacing w:val="-8"/>
                <w:kern w:val="2"/>
                <w:sz w:val="28"/>
                <w:szCs w:val="28"/>
                <w:lang w:val="en-US" w:eastAsia="zh-CN" w:bidi="ar-SA"/>
              </w:rPr>
              <w:t>件或提供承诺函。投标人近一年内任意3个月的缴纳社保的银行电子回单（票据）或社保部门出具的社保缴纳证明材料（扫描件）或提供承诺函。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816" w:type="dxa"/>
            <w:vMerge w:val="continue"/>
          </w:tcPr>
          <w:p>
            <w:pPr>
              <w:keepNext w:val="0"/>
              <w:keepLines w:val="0"/>
              <w:pageBreakBefore w:val="0"/>
              <w:widowControl w:val="0"/>
              <w:kinsoku/>
              <w:wordWrap/>
              <w:overflowPunct/>
              <w:topLinePunct w:val="0"/>
              <w:autoSpaceDE/>
              <w:autoSpaceDN/>
              <w:bidi w:val="0"/>
              <w:adjustRightInd/>
              <w:spacing w:line="578" w:lineRule="exact"/>
              <w:ind w:left="420"/>
              <w:jc w:val="both"/>
              <w:textAlignment w:val="auto"/>
              <w:rPr>
                <w:rFonts w:hint="eastAsia" w:ascii="宋体" w:hAnsi="宋体" w:eastAsia="宋体" w:cs="宋体"/>
                <w:b/>
                <w:kern w:val="2"/>
                <w:sz w:val="28"/>
                <w:szCs w:val="28"/>
                <w:lang w:val="en-US" w:eastAsia="zh-CN" w:bidi="ar-SA"/>
              </w:rPr>
            </w:pPr>
          </w:p>
        </w:tc>
        <w:tc>
          <w:tcPr>
            <w:tcW w:w="534" w:type="dxa"/>
            <w:vMerge w:val="continue"/>
          </w:tcPr>
          <w:p>
            <w:pPr>
              <w:keepNext w:val="0"/>
              <w:keepLines w:val="0"/>
              <w:pageBreakBefore w:val="0"/>
              <w:widowControl w:val="0"/>
              <w:kinsoku/>
              <w:wordWrap/>
              <w:overflowPunct/>
              <w:topLinePunct w:val="0"/>
              <w:autoSpaceDE/>
              <w:autoSpaceDN/>
              <w:bidi w:val="0"/>
              <w:adjustRightInd/>
              <w:spacing w:after="180" w:line="578" w:lineRule="exact"/>
              <w:ind w:firstLine="0"/>
              <w:jc w:val="both"/>
              <w:textAlignment w:val="auto"/>
              <w:rPr>
                <w:rFonts w:hint="eastAsia" w:ascii="宋体" w:hAnsi="宋体" w:eastAsia="宋体" w:cs="宋体"/>
                <w:b/>
                <w:kern w:val="2"/>
                <w:sz w:val="28"/>
                <w:szCs w:val="28"/>
                <w:lang w:val="en-US" w:eastAsia="zh-CN" w:bidi="ar-SA"/>
              </w:rPr>
            </w:pPr>
          </w:p>
        </w:tc>
        <w:tc>
          <w:tcPr>
            <w:tcW w:w="3668" w:type="dxa"/>
            <w:vAlign w:val="center"/>
          </w:tcPr>
          <w:p>
            <w:pPr>
              <w:keepNext w:val="0"/>
              <w:keepLines w:val="0"/>
              <w:pageBreakBefore w:val="0"/>
              <w:widowControl w:val="0"/>
              <w:tabs>
                <w:tab w:val="left" w:pos="7665"/>
              </w:tabs>
              <w:kinsoku/>
              <w:wordWrap/>
              <w:overflowPunct/>
              <w:topLinePunct w:val="0"/>
              <w:autoSpaceDE/>
              <w:autoSpaceDN/>
              <w:bidi w:val="0"/>
              <w:adjustRightInd/>
              <w:snapToGrid/>
              <w:spacing w:line="578" w:lineRule="exact"/>
              <w:jc w:val="left"/>
              <w:textAlignment w:val="auto"/>
              <w:rPr>
                <w:rFonts w:hint="eastAsia" w:ascii="宋体" w:hAnsi="宋体" w:eastAsia="宋体" w:cs="宋体"/>
                <w:spacing w:val="-8"/>
                <w:kern w:val="2"/>
                <w:sz w:val="28"/>
                <w:szCs w:val="28"/>
                <w:lang w:val="en-US" w:eastAsia="zh-CN" w:bidi="ar-SA"/>
              </w:rPr>
            </w:pPr>
            <w:r>
              <w:rPr>
                <w:rFonts w:hint="eastAsia" w:ascii="宋体" w:hAnsi="宋体" w:eastAsia="宋体" w:cs="宋体"/>
                <w:kern w:val="2"/>
                <w:sz w:val="28"/>
                <w:szCs w:val="28"/>
                <w:lang w:val="en-US" w:eastAsia="zh-CN" w:bidi="ar-SA"/>
              </w:rPr>
              <w:t>5、</w:t>
            </w:r>
            <w:r>
              <w:rPr>
                <w:rFonts w:hint="eastAsia" w:ascii="宋体" w:hAnsi="宋体" w:eastAsia="宋体" w:cs="宋体"/>
                <w:spacing w:val="-8"/>
                <w:kern w:val="2"/>
                <w:sz w:val="28"/>
                <w:szCs w:val="28"/>
                <w:lang w:val="en-US" w:eastAsia="zh-CN" w:bidi="ar-SA"/>
              </w:rPr>
              <w:t>参加本次政府采购活动前三年内，在经营活动中没有重大违法违规记录；</w:t>
            </w:r>
          </w:p>
        </w:tc>
        <w:tc>
          <w:tcPr>
            <w:tcW w:w="4944" w:type="dxa"/>
          </w:tcPr>
          <w:p>
            <w:pPr>
              <w:keepNext w:val="0"/>
              <w:keepLines w:val="0"/>
              <w:pageBreakBefore w:val="0"/>
              <w:widowControl/>
              <w:kinsoku/>
              <w:wordWrap/>
              <w:overflowPunct/>
              <w:topLinePunct w:val="0"/>
              <w:autoSpaceDE/>
              <w:autoSpaceDN/>
              <w:bidi w:val="0"/>
              <w:adjustRightInd/>
              <w:spacing w:line="578" w:lineRule="exact"/>
              <w:ind w:left="0" w:leftChars="0" w:firstLine="528" w:firstLineChars="200"/>
              <w:jc w:val="left"/>
              <w:textAlignment w:val="auto"/>
              <w:rPr>
                <w:rFonts w:hint="eastAsia" w:ascii="宋体" w:hAnsi="宋体" w:eastAsia="宋体" w:cs="宋体"/>
                <w:b/>
                <w:kern w:val="2"/>
                <w:sz w:val="28"/>
                <w:szCs w:val="28"/>
                <w:lang w:val="en-US" w:eastAsia="zh-CN" w:bidi="ar-SA"/>
              </w:rPr>
            </w:pPr>
            <w:r>
              <w:rPr>
                <w:rFonts w:hint="eastAsia" w:ascii="宋体" w:hAnsi="宋体" w:eastAsia="宋体" w:cs="宋体"/>
                <w:spacing w:val="-8"/>
                <w:kern w:val="2"/>
                <w:sz w:val="28"/>
                <w:szCs w:val="28"/>
                <w:lang w:val="en-US" w:eastAsia="zh-CN" w:bidi="ar-SA"/>
              </w:rPr>
              <w:t>供应商在参加政府采购活动时</w:t>
            </w:r>
            <w:r>
              <w:rPr>
                <w:rFonts w:hint="eastAsia" w:ascii="宋体" w:hAnsi="宋体" w:eastAsia="宋体" w:cs="宋体"/>
                <w:kern w:val="2"/>
                <w:sz w:val="28"/>
                <w:szCs w:val="28"/>
                <w:lang w:val="en-US" w:eastAsia="zh-CN" w:bidi="ar-SA"/>
              </w:rPr>
              <w:t>做出承诺</w:t>
            </w:r>
            <w:r>
              <w:rPr>
                <w:rFonts w:hint="eastAsia" w:ascii="宋体" w:hAnsi="宋体" w:eastAsia="宋体" w:cs="宋体"/>
                <w:color w:val="auto"/>
                <w:kern w:val="2"/>
                <w:sz w:val="28"/>
                <w:szCs w:val="28"/>
                <w:lang w:val="en-US" w:eastAsia="zh-CN" w:bidi="ar-SA"/>
              </w:rPr>
              <w:t>（提供“承诺函”并加盖公章）</w:t>
            </w:r>
            <w:r>
              <w:rPr>
                <w:rFonts w:hint="eastAsia" w:ascii="宋体" w:hAnsi="宋体" w:eastAsia="宋体" w:cs="宋体"/>
                <w:kern w:val="2"/>
                <w:sz w:val="28"/>
                <w:szCs w:val="28"/>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jc w:val="center"/>
        </w:trPr>
        <w:tc>
          <w:tcPr>
            <w:tcW w:w="816" w:type="dxa"/>
            <w:vMerge w:val="continue"/>
          </w:tcPr>
          <w:p>
            <w:pPr>
              <w:keepNext w:val="0"/>
              <w:keepLines w:val="0"/>
              <w:pageBreakBefore w:val="0"/>
              <w:widowControl w:val="0"/>
              <w:kinsoku/>
              <w:wordWrap/>
              <w:overflowPunct/>
              <w:topLinePunct w:val="0"/>
              <w:autoSpaceDE/>
              <w:autoSpaceDN/>
              <w:bidi w:val="0"/>
              <w:adjustRightInd/>
              <w:spacing w:line="578" w:lineRule="exact"/>
              <w:ind w:left="420"/>
              <w:jc w:val="both"/>
              <w:textAlignment w:val="auto"/>
              <w:rPr>
                <w:rFonts w:hint="eastAsia" w:ascii="宋体" w:hAnsi="宋体" w:eastAsia="宋体" w:cs="宋体"/>
                <w:b/>
                <w:kern w:val="2"/>
                <w:sz w:val="28"/>
                <w:szCs w:val="28"/>
                <w:lang w:val="en-US" w:eastAsia="zh-CN" w:bidi="ar-SA"/>
              </w:rPr>
            </w:pPr>
          </w:p>
        </w:tc>
        <w:tc>
          <w:tcPr>
            <w:tcW w:w="534" w:type="dxa"/>
            <w:vMerge w:val="continue"/>
          </w:tcPr>
          <w:p>
            <w:pPr>
              <w:keepNext w:val="0"/>
              <w:keepLines w:val="0"/>
              <w:pageBreakBefore w:val="0"/>
              <w:widowControl w:val="0"/>
              <w:kinsoku/>
              <w:wordWrap/>
              <w:overflowPunct/>
              <w:topLinePunct w:val="0"/>
              <w:autoSpaceDE/>
              <w:autoSpaceDN/>
              <w:bidi w:val="0"/>
              <w:adjustRightInd/>
              <w:spacing w:after="180" w:line="578" w:lineRule="exact"/>
              <w:ind w:firstLine="0"/>
              <w:jc w:val="both"/>
              <w:textAlignment w:val="auto"/>
              <w:rPr>
                <w:rFonts w:hint="eastAsia" w:ascii="宋体" w:hAnsi="宋体" w:eastAsia="宋体" w:cs="宋体"/>
                <w:b/>
                <w:kern w:val="2"/>
                <w:sz w:val="28"/>
                <w:szCs w:val="28"/>
                <w:lang w:val="en-US" w:eastAsia="zh-CN" w:bidi="ar-SA"/>
              </w:rPr>
            </w:pPr>
          </w:p>
        </w:tc>
        <w:tc>
          <w:tcPr>
            <w:tcW w:w="3668" w:type="dxa"/>
            <w:vAlign w:val="center"/>
          </w:tcPr>
          <w:p>
            <w:pPr>
              <w:keepNext w:val="0"/>
              <w:keepLines w:val="0"/>
              <w:pageBreakBefore w:val="0"/>
              <w:widowControl w:val="0"/>
              <w:tabs>
                <w:tab w:val="left" w:pos="7665"/>
              </w:tabs>
              <w:kinsoku/>
              <w:wordWrap/>
              <w:overflowPunct/>
              <w:topLinePunct w:val="0"/>
              <w:autoSpaceDE/>
              <w:autoSpaceDN/>
              <w:bidi w:val="0"/>
              <w:adjustRightInd/>
              <w:snapToGrid/>
              <w:spacing w:line="578" w:lineRule="exact"/>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6、法律、行政法规规定的其他条件。</w:t>
            </w:r>
          </w:p>
        </w:tc>
        <w:tc>
          <w:tcPr>
            <w:tcW w:w="4944" w:type="dxa"/>
          </w:tcPr>
          <w:p>
            <w:pPr>
              <w:keepNext w:val="0"/>
              <w:keepLines w:val="0"/>
              <w:pageBreakBefore w:val="0"/>
              <w:widowControl/>
              <w:kinsoku/>
              <w:wordWrap/>
              <w:overflowPunct/>
              <w:topLinePunct w:val="0"/>
              <w:autoSpaceDE/>
              <w:autoSpaceDN/>
              <w:bidi w:val="0"/>
              <w:adjustRightInd/>
              <w:spacing w:line="578" w:lineRule="exact"/>
              <w:ind w:left="0" w:leftChars="0" w:firstLine="560" w:firstLineChars="200"/>
              <w:jc w:val="left"/>
              <w:textAlignment w:val="auto"/>
              <w:rPr>
                <w:rFonts w:hint="eastAsia" w:ascii="宋体" w:hAnsi="宋体" w:eastAsia="宋体" w:cs="宋体"/>
                <w:spacing w:val="-8"/>
                <w:kern w:val="2"/>
                <w:sz w:val="28"/>
                <w:szCs w:val="28"/>
                <w:lang w:val="en-US" w:eastAsia="zh-CN" w:bidi="ar-SA"/>
              </w:rPr>
            </w:pPr>
            <w:r>
              <w:rPr>
                <w:rFonts w:hint="eastAsia" w:ascii="宋体" w:hAnsi="宋体" w:eastAsia="宋体" w:cs="宋体"/>
                <w:kern w:val="2"/>
                <w:sz w:val="28"/>
                <w:szCs w:val="28"/>
                <w:lang w:val="en-US" w:eastAsia="zh-CN" w:bidi="ar-SA"/>
              </w:rPr>
              <w:t>采购人对法律、行政法规规定的其他条件无特殊要求的，可不提供其他证明材料。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jc w:val="center"/>
        </w:trPr>
        <w:tc>
          <w:tcPr>
            <w:tcW w:w="816" w:type="dxa"/>
            <w:vMerge w:val="continue"/>
          </w:tcPr>
          <w:p>
            <w:pPr>
              <w:keepNext w:val="0"/>
              <w:keepLines w:val="0"/>
              <w:pageBreakBefore w:val="0"/>
              <w:widowControl w:val="0"/>
              <w:kinsoku/>
              <w:wordWrap/>
              <w:overflowPunct/>
              <w:topLinePunct w:val="0"/>
              <w:autoSpaceDE/>
              <w:autoSpaceDN/>
              <w:bidi w:val="0"/>
              <w:adjustRightInd/>
              <w:spacing w:line="578" w:lineRule="exact"/>
              <w:ind w:left="420"/>
              <w:jc w:val="both"/>
              <w:textAlignment w:val="auto"/>
              <w:rPr>
                <w:rFonts w:hint="eastAsia" w:ascii="宋体" w:hAnsi="宋体" w:eastAsia="宋体" w:cs="宋体"/>
                <w:b/>
                <w:kern w:val="2"/>
                <w:sz w:val="28"/>
                <w:szCs w:val="28"/>
                <w:lang w:val="en-US" w:eastAsia="zh-CN" w:bidi="ar-SA"/>
              </w:rPr>
            </w:pPr>
          </w:p>
        </w:tc>
        <w:tc>
          <w:tcPr>
            <w:tcW w:w="534" w:type="dxa"/>
            <w:vMerge w:val="restart"/>
            <w:vAlign w:val="center"/>
          </w:tcPr>
          <w:p>
            <w:pPr>
              <w:keepNext w:val="0"/>
              <w:keepLines w:val="0"/>
              <w:pageBreakBefore w:val="0"/>
              <w:widowControl w:val="0"/>
              <w:kinsoku/>
              <w:wordWrap/>
              <w:overflowPunct/>
              <w:topLinePunct w:val="0"/>
              <w:autoSpaceDE/>
              <w:autoSpaceDN/>
              <w:bidi w:val="0"/>
              <w:adjustRightInd/>
              <w:spacing w:after="180" w:line="578" w:lineRule="exact"/>
              <w:ind w:firstLine="0"/>
              <w:jc w:val="center"/>
              <w:textAlignment w:val="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其他要求</w:t>
            </w:r>
          </w:p>
        </w:tc>
        <w:tc>
          <w:tcPr>
            <w:tcW w:w="3668" w:type="dxa"/>
          </w:tcPr>
          <w:p>
            <w:pPr>
              <w:keepNext w:val="0"/>
              <w:keepLines w:val="0"/>
              <w:pageBreakBefore w:val="0"/>
              <w:widowControl w:val="0"/>
              <w:tabs>
                <w:tab w:val="left" w:pos="7665"/>
              </w:tabs>
              <w:kinsoku/>
              <w:wordWrap/>
              <w:overflowPunct/>
              <w:topLinePunct w:val="0"/>
              <w:autoSpaceDE/>
              <w:autoSpaceDN/>
              <w:bidi w:val="0"/>
              <w:adjustRightInd/>
              <w:snapToGrid/>
              <w:spacing w:line="578" w:lineRule="exact"/>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1、法定代表人（负责人）授权书（原件）</w:t>
            </w:r>
          </w:p>
        </w:tc>
        <w:tc>
          <w:tcPr>
            <w:tcW w:w="4944" w:type="dxa"/>
          </w:tcPr>
          <w:p>
            <w:pPr>
              <w:keepNext w:val="0"/>
              <w:keepLines w:val="0"/>
              <w:pageBreakBefore w:val="0"/>
              <w:widowControl w:val="0"/>
              <w:kinsoku/>
              <w:wordWrap/>
              <w:overflowPunct/>
              <w:topLinePunct w:val="0"/>
              <w:autoSpaceDE/>
              <w:autoSpaceDN/>
              <w:bidi w:val="0"/>
              <w:adjustRightInd/>
              <w:spacing w:after="180" w:line="578" w:lineRule="exact"/>
              <w:ind w:left="0" w:leftChars="0"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非法定代表人参加投标时提供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816" w:type="dxa"/>
            <w:vMerge w:val="continue"/>
          </w:tcPr>
          <w:p>
            <w:pPr>
              <w:keepNext w:val="0"/>
              <w:keepLines w:val="0"/>
              <w:pageBreakBefore w:val="0"/>
              <w:widowControl w:val="0"/>
              <w:kinsoku/>
              <w:wordWrap/>
              <w:overflowPunct/>
              <w:topLinePunct w:val="0"/>
              <w:autoSpaceDE/>
              <w:autoSpaceDN/>
              <w:bidi w:val="0"/>
              <w:adjustRightInd/>
              <w:spacing w:line="578" w:lineRule="exact"/>
              <w:ind w:left="420"/>
              <w:jc w:val="both"/>
              <w:textAlignment w:val="auto"/>
              <w:rPr>
                <w:rFonts w:hint="eastAsia" w:ascii="宋体" w:hAnsi="宋体" w:eastAsia="宋体" w:cs="宋体"/>
                <w:b/>
                <w:kern w:val="2"/>
                <w:sz w:val="28"/>
                <w:szCs w:val="28"/>
                <w:lang w:val="en-US" w:eastAsia="zh-CN" w:bidi="ar-SA"/>
              </w:rPr>
            </w:pPr>
          </w:p>
        </w:tc>
        <w:tc>
          <w:tcPr>
            <w:tcW w:w="534" w:type="dxa"/>
            <w:vMerge w:val="continue"/>
          </w:tcPr>
          <w:p>
            <w:pPr>
              <w:keepNext w:val="0"/>
              <w:keepLines w:val="0"/>
              <w:pageBreakBefore w:val="0"/>
              <w:widowControl w:val="0"/>
              <w:kinsoku/>
              <w:wordWrap/>
              <w:overflowPunct/>
              <w:topLinePunct w:val="0"/>
              <w:autoSpaceDE/>
              <w:autoSpaceDN/>
              <w:bidi w:val="0"/>
              <w:adjustRightInd/>
              <w:spacing w:after="180" w:line="578" w:lineRule="exact"/>
              <w:ind w:firstLine="482"/>
              <w:jc w:val="both"/>
              <w:textAlignment w:val="auto"/>
              <w:rPr>
                <w:rFonts w:hint="eastAsia" w:ascii="宋体" w:hAnsi="宋体" w:eastAsia="宋体" w:cs="宋体"/>
                <w:b/>
                <w:kern w:val="2"/>
                <w:sz w:val="28"/>
                <w:szCs w:val="28"/>
                <w:lang w:val="en-US" w:eastAsia="zh-CN" w:bidi="ar-SA"/>
              </w:rPr>
            </w:pPr>
          </w:p>
        </w:tc>
        <w:tc>
          <w:tcPr>
            <w:tcW w:w="3668" w:type="dxa"/>
          </w:tcPr>
          <w:p>
            <w:pPr>
              <w:keepNext w:val="0"/>
              <w:keepLines w:val="0"/>
              <w:pageBreakBefore w:val="0"/>
              <w:widowControl w:val="0"/>
              <w:tabs>
                <w:tab w:val="left" w:pos="7665"/>
              </w:tabs>
              <w:kinsoku/>
              <w:wordWrap/>
              <w:overflowPunct/>
              <w:topLinePunct w:val="0"/>
              <w:autoSpaceDE/>
              <w:autoSpaceDN/>
              <w:bidi w:val="0"/>
              <w:adjustRightInd/>
              <w:snapToGrid/>
              <w:spacing w:line="578" w:lineRule="exact"/>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2、供应商的廉政承诺书</w:t>
            </w:r>
          </w:p>
        </w:tc>
        <w:tc>
          <w:tcPr>
            <w:tcW w:w="4944" w:type="dxa"/>
          </w:tcPr>
          <w:p>
            <w:pPr>
              <w:keepNext w:val="0"/>
              <w:keepLines w:val="0"/>
              <w:pageBreakBefore w:val="0"/>
              <w:widowControl w:val="0"/>
              <w:kinsoku/>
              <w:wordWrap/>
              <w:overflowPunct/>
              <w:topLinePunct w:val="0"/>
              <w:autoSpaceDE/>
              <w:autoSpaceDN/>
              <w:bidi w:val="0"/>
              <w:adjustRightInd/>
              <w:spacing w:line="578"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color w:val="auto"/>
                <w:kern w:val="2"/>
                <w:sz w:val="28"/>
                <w:szCs w:val="28"/>
                <w:lang w:val="en-US" w:eastAsia="zh-CN" w:bidi="ar-SA"/>
              </w:rPr>
              <w:t>（提供“承诺书”并加盖公章）</w:t>
            </w:r>
          </w:p>
        </w:tc>
      </w:tr>
    </w:tbl>
    <w:p>
      <w:pPr>
        <w:keepNext w:val="0"/>
        <w:keepLines w:val="0"/>
        <w:pageBreakBefore w:val="0"/>
        <w:widowControl/>
        <w:kinsoku/>
        <w:wordWrap/>
        <w:overflowPunct/>
        <w:topLinePunct w:val="0"/>
        <w:autoSpaceDE/>
        <w:autoSpaceDN/>
        <w:bidi w:val="0"/>
        <w:adjustRightInd/>
        <w:spacing w:line="578" w:lineRule="exact"/>
        <w:ind w:firstLine="0" w:firstLineChars="0"/>
        <w:jc w:val="left"/>
        <w:textAlignment w:val="auto"/>
        <w:rPr>
          <w:rFonts w:hint="eastAsia" w:ascii="宋体" w:hAnsi="宋体" w:eastAsia="宋体" w:cs="宋体"/>
          <w:bCs/>
          <w:spacing w:val="8"/>
          <w:kern w:val="2"/>
          <w:sz w:val="28"/>
          <w:szCs w:val="28"/>
          <w:lang w:val="en-US" w:eastAsia="zh-CN" w:bidi="ar-SA"/>
        </w:rPr>
      </w:pPr>
      <w:r>
        <w:rPr>
          <w:rFonts w:hint="eastAsia" w:ascii="宋体" w:hAnsi="宋体" w:eastAsia="宋体" w:cs="宋体"/>
          <w:b/>
          <w:kern w:val="2"/>
          <w:sz w:val="28"/>
          <w:szCs w:val="28"/>
          <w:lang w:val="en-US" w:eastAsia="zh-CN" w:bidi="ar-SA"/>
        </w:rPr>
        <w:t>注：</w:t>
      </w:r>
      <w:r>
        <w:rPr>
          <w:rFonts w:hint="eastAsia" w:ascii="宋体" w:hAnsi="宋体" w:eastAsia="宋体" w:cs="宋体"/>
          <w:kern w:val="2"/>
          <w:sz w:val="28"/>
          <w:szCs w:val="28"/>
          <w:lang w:val="en-US" w:eastAsia="zh-CN" w:bidi="ar-SA"/>
        </w:rPr>
        <w:t>1、供应商的资格、资质性及其他类似效力要求</w:t>
      </w:r>
      <w:r>
        <w:rPr>
          <w:rFonts w:hint="eastAsia" w:ascii="宋体" w:hAnsi="宋体" w:eastAsia="宋体" w:cs="宋体"/>
          <w:bCs/>
          <w:spacing w:val="8"/>
          <w:kern w:val="2"/>
          <w:sz w:val="28"/>
          <w:szCs w:val="28"/>
          <w:lang w:val="en-US" w:eastAsia="zh-CN" w:bidi="ar-SA"/>
        </w:rPr>
        <w:t>证明资料（原件扫描件）。</w:t>
      </w:r>
    </w:p>
    <w:p>
      <w:pPr>
        <w:keepNext w:val="0"/>
        <w:keepLines w:val="0"/>
        <w:pageBreakBefore w:val="0"/>
        <w:widowControl/>
        <w:kinsoku/>
        <w:wordWrap/>
        <w:overflowPunct/>
        <w:topLinePunct w:val="0"/>
        <w:autoSpaceDE/>
        <w:autoSpaceDN/>
        <w:bidi w:val="0"/>
        <w:adjustRightInd/>
        <w:spacing w:line="578" w:lineRule="exact"/>
        <w:ind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2、投标服务/产品的资格、资质性及其他类似效力要求证明资料(根据采购项目服务内容及要求提供)。</w:t>
      </w:r>
    </w:p>
    <w:p>
      <w:pPr>
        <w:keepNext w:val="0"/>
        <w:keepLines w:val="0"/>
        <w:pageBreakBefore w:val="0"/>
        <w:widowControl/>
        <w:kinsoku/>
        <w:wordWrap/>
        <w:overflowPunct/>
        <w:topLinePunct w:val="0"/>
        <w:autoSpaceDE/>
        <w:autoSpaceDN/>
        <w:bidi w:val="0"/>
        <w:adjustRightInd/>
        <w:spacing w:line="578" w:lineRule="exact"/>
        <w:ind w:firstLine="560" w:firstLineChars="200"/>
        <w:jc w:val="left"/>
        <w:textAlignment w:val="auto"/>
        <w:rPr>
          <w:rFonts w:hint="eastAsia" w:ascii="宋体" w:hAnsi="宋体" w:eastAsia="宋体" w:cs="宋体"/>
          <w:bCs/>
          <w:spacing w:val="8"/>
          <w:kern w:val="2"/>
          <w:sz w:val="28"/>
          <w:szCs w:val="28"/>
          <w:lang w:val="en-US" w:eastAsia="zh-CN" w:bidi="ar-SA"/>
        </w:rPr>
      </w:pPr>
      <w:r>
        <w:rPr>
          <w:rFonts w:hint="eastAsia" w:ascii="宋体" w:hAnsi="宋体" w:eastAsia="宋体" w:cs="宋体"/>
          <w:kern w:val="2"/>
          <w:sz w:val="28"/>
          <w:szCs w:val="28"/>
          <w:lang w:val="en-US" w:eastAsia="zh-CN" w:bidi="ar-SA"/>
        </w:rPr>
        <w:t>3、以上证明材料一项不符合要求的，作为无效报价处理。</w:t>
      </w:r>
    </w:p>
    <w:bookmarkEnd w:id="6"/>
    <w:p>
      <w:pPr>
        <w:keepNext w:val="0"/>
        <w:keepLines w:val="0"/>
        <w:pageBreakBefore w:val="0"/>
        <w:tabs>
          <w:tab w:val="left" w:pos="7665"/>
        </w:tabs>
        <w:kinsoku/>
        <w:wordWrap/>
        <w:overflowPunct/>
        <w:topLinePunct w:val="0"/>
        <w:autoSpaceDE/>
        <w:autoSpaceDN/>
        <w:bidi w:val="0"/>
        <w:adjustRightInd/>
        <w:spacing w:line="578" w:lineRule="exact"/>
        <w:ind w:firstLine="560" w:firstLineChars="200"/>
        <w:textAlignment w:val="auto"/>
        <w:rPr>
          <w:rFonts w:hint="eastAsia" w:ascii="宋体" w:hAnsi="宋体" w:eastAsia="宋体" w:cs="宋体"/>
          <w:color w:val="auto"/>
          <w:sz w:val="28"/>
          <w:szCs w:val="28"/>
          <w:lang w:val="en-US" w:eastAsia="zh-CN"/>
        </w:rPr>
      </w:pPr>
    </w:p>
    <w:bookmarkEnd w:id="4"/>
    <w:p>
      <w:pPr>
        <w:pStyle w:val="2"/>
        <w:rPr>
          <w:rFonts w:hint="eastAsia"/>
          <w:lang w:val="en-US" w:eastAsia="zh-CN"/>
        </w:rPr>
      </w:pPr>
    </w:p>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5B5BD"/>
    <w:multiLevelType w:val="singleLevel"/>
    <w:tmpl w:val="1325B5B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3A6BCA"/>
    <w:rsid w:val="1A7D5684"/>
    <w:rsid w:val="1AC15311"/>
    <w:rsid w:val="1B134EC3"/>
    <w:rsid w:val="1C2C52C5"/>
    <w:rsid w:val="1CAD5CEA"/>
    <w:rsid w:val="1D106DF0"/>
    <w:rsid w:val="1D113FA4"/>
    <w:rsid w:val="1D5B7B20"/>
    <w:rsid w:val="1E8F3ED4"/>
    <w:rsid w:val="20371A9D"/>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97154DF"/>
    <w:rsid w:val="4A364969"/>
    <w:rsid w:val="4A816802"/>
    <w:rsid w:val="4B3710C6"/>
    <w:rsid w:val="4C5338DC"/>
    <w:rsid w:val="4C661EAD"/>
    <w:rsid w:val="4C8E350F"/>
    <w:rsid w:val="4CA548C2"/>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0B5794E"/>
    <w:rsid w:val="61810A7F"/>
    <w:rsid w:val="61AA1436"/>
    <w:rsid w:val="62E969E6"/>
    <w:rsid w:val="62FA4553"/>
    <w:rsid w:val="635F6889"/>
    <w:rsid w:val="648A6BD3"/>
    <w:rsid w:val="64FB1EE8"/>
    <w:rsid w:val="652B354E"/>
    <w:rsid w:val="65E41CEC"/>
    <w:rsid w:val="65FC1843"/>
    <w:rsid w:val="66F44F9A"/>
    <w:rsid w:val="6703567D"/>
    <w:rsid w:val="677F6F32"/>
    <w:rsid w:val="68242688"/>
    <w:rsid w:val="6873134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7D4382"/>
    <w:rsid w:val="74EB34EA"/>
    <w:rsid w:val="75170C43"/>
    <w:rsid w:val="751747F8"/>
    <w:rsid w:val="752A0060"/>
    <w:rsid w:val="755161DC"/>
    <w:rsid w:val="75546E5B"/>
    <w:rsid w:val="7594657A"/>
    <w:rsid w:val="777F323F"/>
    <w:rsid w:val="78AA53A5"/>
    <w:rsid w:val="78B0277B"/>
    <w:rsid w:val="78FD1A99"/>
    <w:rsid w:val="79196E60"/>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6</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2026-10-12T07:50:48Z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