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凤北校区A21、A22污水沟整改</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15</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凤北校区A21、A22污水沟整改</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bookmarkStart w:id="0" w:name="_GoBack"/>
            <w:bookmarkEnd w:id="0"/>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default"/>
          <w:lang w:val="en-US" w:eastAsia="zh-CN"/>
        </w:rPr>
      </w:pPr>
      <w:r>
        <w:rPr>
          <w:rFonts w:hint="eastAsia" w:ascii="宋体" w:hAnsi="宋体" w:eastAsia="宋体" w:cs="宋体"/>
          <w:b/>
          <w:bCs/>
          <w:sz w:val="18"/>
          <w:szCs w:val="18"/>
          <w:lang w:val="en-US" w:eastAsia="zh-CN"/>
        </w:rPr>
        <w:t xml:space="preserve">　  </w:t>
      </w: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W w:w="9766" w:type="dxa"/>
        <w:tblInd w:w="0" w:type="dxa"/>
        <w:shd w:val="clear"/>
        <w:tblLayout w:type="fixed"/>
        <w:tblCellMar>
          <w:top w:w="0" w:type="dxa"/>
          <w:left w:w="0" w:type="dxa"/>
          <w:bottom w:w="0" w:type="dxa"/>
          <w:right w:w="0" w:type="dxa"/>
        </w:tblCellMar>
      </w:tblPr>
      <w:tblGrid>
        <w:gridCol w:w="450"/>
        <w:gridCol w:w="847"/>
        <w:gridCol w:w="397"/>
        <w:gridCol w:w="859"/>
        <w:gridCol w:w="3415"/>
        <w:gridCol w:w="490"/>
        <w:gridCol w:w="763"/>
        <w:gridCol w:w="775"/>
        <w:gridCol w:w="860"/>
        <w:gridCol w:w="910"/>
      </w:tblGrid>
      <w:tr>
        <w:tblPrEx>
          <w:shd w:val="clear"/>
          <w:tblLayout w:type="fixed"/>
          <w:tblCellMar>
            <w:top w:w="0" w:type="dxa"/>
            <w:left w:w="0" w:type="dxa"/>
            <w:bottom w:w="0" w:type="dxa"/>
            <w:right w:w="0" w:type="dxa"/>
          </w:tblCellMar>
        </w:tblPrEx>
        <w:trPr>
          <w:trHeight w:val="660" w:hRule="atLeast"/>
        </w:trPr>
        <w:tc>
          <w:tcPr>
            <w:tcW w:w="9766" w:type="dxa"/>
            <w:gridSpan w:val="10"/>
            <w:tcBorders>
              <w:top w:val="nil"/>
              <w:left w:val="nil"/>
              <w:bottom w:val="single" w:color="000000" w:sz="4"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bdr w:val="none" w:color="auto" w:sz="0"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06750" cy="3175"/>
                  <wp:effectExtent l="0" t="0" r="0" b="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link="rId4"/>
                          <a:stretch>
                            <a:fillRect/>
                          </a:stretch>
                        </pic:blipFill>
                        <pic:spPr>
                          <a:xfrm>
                            <a:off x="0" y="0"/>
                            <a:ext cx="3206750" cy="317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bdr w:val="none" w:color="auto" w:sz="0"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08655" cy="1270"/>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link="rId5"/>
                          <a:stretch>
                            <a:fillRect/>
                          </a:stretch>
                        </pic:blipFill>
                        <pic:spPr>
                          <a:xfrm>
                            <a:off x="0" y="0"/>
                            <a:ext cx="3208655" cy="127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bdr w:val="none" w:color="auto" w:sz="0" w:space="0"/>
                <w:lang w:val="en-US" w:eastAsia="zh-CN" w:bidi="ar"/>
              </w:rPr>
              <w:drawing>
                <wp:anchor distT="0" distB="0" distL="114300" distR="114300" simplePos="0" relativeHeight="251658240" behindDoc="0" locked="0" layoutInCell="1" allowOverlap="1">
                  <wp:simplePos x="0" y="0"/>
                  <wp:positionH relativeFrom="column">
                    <wp:posOffset>2589530</wp:posOffset>
                  </wp:positionH>
                  <wp:positionV relativeFrom="paragraph">
                    <wp:posOffset>0</wp:posOffset>
                  </wp:positionV>
                  <wp:extent cx="2129790" cy="4445"/>
                  <wp:effectExtent l="0" t="0" r="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link="rId6"/>
                          <a:stretch>
                            <a:fillRect/>
                          </a:stretch>
                        </pic:blipFill>
                        <pic:spPr>
                          <a:xfrm>
                            <a:off x="0" y="0"/>
                            <a:ext cx="2129790" cy="444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bdr w:val="none" w:color="auto" w:sz="0" w:space="0"/>
                <w:lang w:val="en-US" w:eastAsia="zh-CN" w:bidi="ar"/>
              </w:rPr>
              <w:drawing>
                <wp:anchor distT="0" distB="0" distL="114300" distR="114300" simplePos="0" relativeHeight="251658240" behindDoc="0" locked="0" layoutInCell="1" allowOverlap="1">
                  <wp:simplePos x="0" y="0"/>
                  <wp:positionH relativeFrom="column">
                    <wp:posOffset>2599690</wp:posOffset>
                  </wp:positionH>
                  <wp:positionV relativeFrom="paragraph">
                    <wp:posOffset>0</wp:posOffset>
                  </wp:positionV>
                  <wp:extent cx="1891030"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link="rId7"/>
                          <a:stretch>
                            <a:fillRect/>
                          </a:stretch>
                        </pic:blipFill>
                        <pic:spPr>
                          <a:xfrm>
                            <a:off x="0" y="0"/>
                            <a:ext cx="1891030" cy="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bdr w:val="none" w:color="auto" w:sz="0" w:space="0"/>
                <w:lang w:val="en-US" w:eastAsia="zh-CN" w:bidi="ar"/>
              </w:rPr>
              <w:drawing>
                <wp:anchor distT="0" distB="0" distL="114300" distR="114300" simplePos="0" relativeHeight="251658240" behindDoc="0" locked="0" layoutInCell="1" allowOverlap="1">
                  <wp:simplePos x="0" y="0"/>
                  <wp:positionH relativeFrom="column">
                    <wp:posOffset>3068955</wp:posOffset>
                  </wp:positionH>
                  <wp:positionV relativeFrom="paragraph">
                    <wp:posOffset>0</wp:posOffset>
                  </wp:positionV>
                  <wp:extent cx="2867025" cy="1905"/>
                  <wp:effectExtent l="0" t="0" r="0" b="0"/>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link="rId8"/>
                          <a:stretch>
                            <a:fillRect/>
                          </a:stretch>
                        </pic:blipFill>
                        <pic:spPr>
                          <a:xfrm>
                            <a:off x="0" y="0"/>
                            <a:ext cx="2867025" cy="190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bdr w:val="none" w:color="auto" w:sz="0" w:space="0"/>
                <w:lang w:val="en-US" w:eastAsia="zh-CN" w:bidi="ar"/>
              </w:rPr>
              <w:t>凤北校区A21、A22公寓污水沟整改项目明细表</w:t>
            </w:r>
          </w:p>
        </w:tc>
      </w:tr>
      <w:tr>
        <w:tblPrEx>
          <w:shd w:val="clear"/>
          <w:tblLayout w:type="fixed"/>
          <w:tblCellMar>
            <w:top w:w="0" w:type="dxa"/>
            <w:left w:w="0" w:type="dxa"/>
            <w:bottom w:w="0" w:type="dxa"/>
            <w:right w:w="0" w:type="dxa"/>
          </w:tblCellMar>
        </w:tblPrEx>
        <w:trPr>
          <w:trHeight w:val="1680" w:hRule="atLeast"/>
        </w:trPr>
        <w:tc>
          <w:tcPr>
            <w:tcW w:w="9766" w:type="dxa"/>
            <w:gridSpan w:val="10"/>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说明：接《达州职业技术学院关于达州市 12345 政务服务热线交办单》，群众反映我校厕所存在异味，对周边居民日常生活造成影响。后勤服务处维修人员现场实地核查，查明凤北校区 A21、A22 学生公寓外侧污水排放采用污水沟加盖板模式，因盖板预留孔洞，加之污水管沟年久失修、局部破损，导致异味外溢散发。结合现场排查情况，后勤服务处拟对凤北校区 A21、A22 学生公寓污水沟实施专项整改维修。</w:t>
            </w:r>
          </w:p>
        </w:tc>
      </w:tr>
      <w:tr>
        <w:tblPrEx>
          <w:tblLayout w:type="fixed"/>
          <w:tblCellMar>
            <w:top w:w="0" w:type="dxa"/>
            <w:left w:w="0" w:type="dxa"/>
            <w:bottom w:w="0" w:type="dxa"/>
            <w:right w:w="0"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序号</w:t>
            </w:r>
          </w:p>
        </w:tc>
        <w:tc>
          <w:tcPr>
            <w:tcW w:w="84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项目名称</w:t>
            </w:r>
          </w:p>
        </w:tc>
        <w:tc>
          <w:tcPr>
            <w:tcW w:w="1256"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作业单项</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描述及要求</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单位</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数量</w:t>
            </w:r>
          </w:p>
        </w:tc>
        <w:tc>
          <w:tcPr>
            <w:tcW w:w="77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单价</w:t>
            </w:r>
          </w:p>
        </w:tc>
        <w:tc>
          <w:tcPr>
            <w:tcW w:w="177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总价</w:t>
            </w:r>
          </w:p>
        </w:tc>
      </w:tr>
      <w:tr>
        <w:tblPrEx>
          <w:tblLayout w:type="fixed"/>
          <w:tblCellMar>
            <w:top w:w="0" w:type="dxa"/>
            <w:left w:w="0" w:type="dxa"/>
            <w:bottom w:w="0" w:type="dxa"/>
            <w:right w:w="0" w:type="dxa"/>
          </w:tblCellMar>
        </w:tblPrEx>
        <w:trPr>
          <w:trHeight w:val="5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w:t>
            </w:r>
          </w:p>
        </w:tc>
        <w:tc>
          <w:tcPr>
            <w:tcW w:w="847"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A21公寓污水沟整改</w:t>
            </w: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拆除原盖板</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拆除原有混凝土沟盖板</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129</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restart"/>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市政双壁波纹管</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DN300双壁波纹管，内径300mm</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113</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1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混凝土包裹</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对波纹管四周用混凝土进行包裹。混凝土采用C15米石混凝土，以全部包裹住管道为准。检票井两端需直接封至顶部盖板处。</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m</w:t>
            </w:r>
            <w:r>
              <w:rPr>
                <w:rFonts w:hint="eastAsia" w:ascii="仿宋" w:hAnsi="仿宋" w:eastAsia="仿宋" w:cs="仿宋"/>
                <w:i w:val="0"/>
                <w:color w:val="000000"/>
                <w:kern w:val="0"/>
                <w:sz w:val="22"/>
                <w:szCs w:val="22"/>
                <w:u w:val="none"/>
                <w:bdr w:val="none" w:color="auto" w:sz="0" w:space="0"/>
                <w:vertAlign w:val="superscript"/>
                <w:lang w:val="en-US" w:eastAsia="zh-CN" w:bidi="ar"/>
              </w:rPr>
              <w:t>3</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6.5</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检查井盖板</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600*400mm高分子聚合物井盖连边框</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28</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6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单检查井</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在每个单独间厕所外面正对排水口处以及A20排污管汇合处设置检查井。检查井长度为60cm，宽度为原沟宽度。两端用模板封堵，留出管道口，浇筑混凝土，底部沿波纹管底槽，做出圆弧形导流槽。</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6</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6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6</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双联检查井</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在相邻两间厕所外面正对排水口处设置双联检查井。检查井长度为120cm，设置两个盖板。宽度为原沟宽度。两端用模板封堵，留出管道口，浇筑混凝土，底部沿波纹管底槽，做出圆弧形导流槽。</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1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7</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恢复盖板</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做好管道及检查井后，恢复混凝土盖板。部分盖板需切割安装，并用水泥砂浆对盖板两侧进行抹光处理。</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m</w:t>
            </w:r>
            <w:r>
              <w:rPr>
                <w:rFonts w:hint="eastAsia" w:ascii="仿宋" w:hAnsi="仿宋" w:eastAsia="仿宋" w:cs="仿宋"/>
                <w:i w:val="0"/>
                <w:color w:val="000000"/>
                <w:kern w:val="0"/>
                <w:sz w:val="22"/>
                <w:szCs w:val="22"/>
                <w:u w:val="none"/>
                <w:bdr w:val="none" w:color="auto" w:sz="0" w:space="0"/>
                <w:vertAlign w:val="superscript"/>
                <w:lang w:val="en-US" w:eastAsia="zh-CN" w:bidi="ar"/>
              </w:rPr>
              <w:t>2</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112</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6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8</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冲洗系统</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在A21宿舍前面及后面排污管前端设置一组冲水装置。采用DN63PPR管制作，设置活接阀，方便每月冲洗排污管。从宿舍主水管上进行接驳。优质截止阀，多次开关无损坏。</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项</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8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搬运及垃圾清运费用</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后面水沟只能全人工作业，搬运及建渣清运费用</w:t>
            </w:r>
          </w:p>
        </w:tc>
        <w:tc>
          <w:tcPr>
            <w:tcW w:w="490" w:type="dxa"/>
            <w:tcBorders>
              <w:top w:val="single" w:color="000000" w:sz="4" w:space="0"/>
              <w:left w:val="single" w:color="000000" w:sz="4" w:space="0"/>
              <w:bottom w:val="nil"/>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项</w:t>
            </w:r>
          </w:p>
        </w:tc>
        <w:tc>
          <w:tcPr>
            <w:tcW w:w="763" w:type="dxa"/>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w:t>
            </w:r>
          </w:p>
        </w:tc>
        <w:tc>
          <w:tcPr>
            <w:tcW w:w="775" w:type="dxa"/>
            <w:tcBorders>
              <w:top w:val="single" w:color="000000" w:sz="4" w:space="0"/>
              <w:left w:val="single" w:color="000000" w:sz="4" w:space="0"/>
              <w:bottom w:val="nil"/>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62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w:t>
            </w:r>
          </w:p>
        </w:tc>
        <w:tc>
          <w:tcPr>
            <w:tcW w:w="847"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A22公寓污水沟整改</w:t>
            </w: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拆除原盖板</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拆除原有混凝土沟盖板</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130</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restart"/>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 xml:space="preserve"> </w:t>
            </w:r>
          </w:p>
        </w:tc>
      </w:tr>
      <w:tr>
        <w:tblPrEx>
          <w:tblLayout w:type="fixed"/>
          <w:tblCellMar>
            <w:top w:w="0" w:type="dxa"/>
            <w:left w:w="0" w:type="dxa"/>
            <w:bottom w:w="0" w:type="dxa"/>
            <w:right w:w="0" w:type="dxa"/>
          </w:tblCellMar>
        </w:tblPrEx>
        <w:trPr>
          <w:trHeight w:val="8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水沟破拆加宽</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原水沟宽度为27cm，不够安装波纹管，需拆除原水沟外边部分，将宽度拓宽为38cm以上。</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130</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双壁波纹管</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双壁波纹管，内径300mm</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117</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1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混凝土包裹</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对波纹管四周用混凝土进行包裹。混凝土采用C15米石混凝土，以全部包裹住管道为准。检票井两端需直接封至顶部盖板处。</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m</w:t>
            </w:r>
            <w:r>
              <w:rPr>
                <w:rFonts w:hint="eastAsia" w:ascii="仿宋" w:hAnsi="仿宋" w:eastAsia="仿宋" w:cs="仿宋"/>
                <w:i w:val="0"/>
                <w:color w:val="000000"/>
                <w:kern w:val="0"/>
                <w:sz w:val="22"/>
                <w:szCs w:val="22"/>
                <w:u w:val="none"/>
                <w:bdr w:val="none" w:color="auto" w:sz="0" w:space="0"/>
                <w:vertAlign w:val="superscript"/>
                <w:lang w:val="en-US" w:eastAsia="zh-CN" w:bidi="ar"/>
              </w:rPr>
              <w:t>3</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6.6</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检查井盖板</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600*400mm高分子聚合物井盖连边框</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22</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9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6</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单检查井</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在每个单独间厕所外面正对排水口处设置检查井。检查井长度为60cm，宽度为38cm。后面需重新用红砖砌筑并抹灰。两端用模板封堵，留出管道口，浇筑混凝土，底部沿波纹管底槽，做出圆弧形导流槽。</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9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7</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双联检查井</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在相邻两间厕所外面正对排水口处设置双联检查井。检查井长度为120cm，设置两个盖板。宽度为38cm。后面需重新用红砖砌筑并抹灰。两端用模板封堵，留出管道口，浇筑混凝土，底部沿波纹管底槽，做出圆弧形导流槽。</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4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8</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回填及散水沟</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管道安装好完成混凝土包裹后，回填，在沟顶部铺设10cm厚混凝土，中间做成U型自排水水沟。水沟弧高约10cm。检查井处沿外侧绕开，同样设置U型水沟。</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130</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6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冲洗系统</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在A21宿舍前面及后面排污管前端设置一组冲水装置。采用DN63PPR管制作，设置活接阀，方便每月冲洗排污管。从宿舍主水管上进行接驳。优质截止阀，能保证多次开关。</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项</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8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特殊管道处理</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部分厕所水管已经改道，本次施工需将所有排污管管口均埋入地下，置于检查井侧壁上。</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项</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1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11</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其他事项</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A22公寓后面有许多管道（主水管、热水管、纯净水管）均直接放置于原盖板上，施工时需做好专项施工方案，不可损坏原有管道。</w:t>
            </w:r>
          </w:p>
        </w:tc>
        <w:tc>
          <w:tcPr>
            <w:tcW w:w="4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项</w:t>
            </w:r>
          </w:p>
        </w:tc>
        <w:tc>
          <w:tcPr>
            <w:tcW w:w="76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4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39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12</w:t>
            </w:r>
          </w:p>
        </w:tc>
        <w:tc>
          <w:tcPr>
            <w:tcW w:w="85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搬运及垃圾清运费用</w:t>
            </w:r>
          </w:p>
        </w:tc>
        <w:tc>
          <w:tcPr>
            <w:tcW w:w="3415"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后面水沟只能全人工作业。由此产生二次搬运费用；所有混凝土水沟盖板及破拆水沟产生的建渣均需人工搬运出来，再装车外运出校处理。</w:t>
            </w:r>
          </w:p>
        </w:tc>
        <w:tc>
          <w:tcPr>
            <w:tcW w:w="490" w:type="dxa"/>
            <w:tcBorders>
              <w:top w:val="single" w:color="000000" w:sz="4" w:space="0"/>
              <w:left w:val="single" w:color="000000" w:sz="4" w:space="0"/>
              <w:bottom w:val="nil"/>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项</w:t>
            </w:r>
          </w:p>
        </w:tc>
        <w:tc>
          <w:tcPr>
            <w:tcW w:w="763" w:type="dxa"/>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w:t>
            </w:r>
          </w:p>
        </w:tc>
        <w:tc>
          <w:tcPr>
            <w:tcW w:w="775" w:type="dxa"/>
            <w:tcBorders>
              <w:top w:val="single" w:color="000000" w:sz="4" w:space="0"/>
              <w:left w:val="single" w:color="000000" w:sz="4" w:space="0"/>
              <w:bottom w:val="nil"/>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60" w:type="dxa"/>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910" w:type="dxa"/>
            <w:vMerge w:val="continue"/>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9766" w:type="dxa"/>
            <w:gridSpan w:val="10"/>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both"/>
              <w:textAlignment w:val="center"/>
              <w:rPr>
                <w:rFonts w:hint="default" w:ascii="仿宋" w:hAnsi="仿宋" w:eastAsia="仿宋" w:cs="仿宋"/>
                <w:b/>
                <w:i w:val="0"/>
                <w:color w:val="000000"/>
                <w:sz w:val="24"/>
                <w:szCs w:val="24"/>
                <w:u w:val="none"/>
                <w:lang w:val="en-US"/>
              </w:rPr>
            </w:pPr>
            <w:r>
              <w:rPr>
                <w:rFonts w:hint="eastAsia" w:ascii="仿宋" w:hAnsi="仿宋" w:eastAsia="仿宋" w:cs="仿宋"/>
                <w:b/>
                <w:i w:val="0"/>
                <w:color w:val="000000"/>
                <w:kern w:val="0"/>
                <w:sz w:val="24"/>
                <w:szCs w:val="24"/>
                <w:u w:val="none"/>
                <w:bdr w:val="none" w:color="auto" w:sz="0" w:space="0"/>
                <w:lang w:val="en-US" w:eastAsia="zh-CN" w:bidi="ar"/>
              </w:rPr>
              <w:t>合计：小写：      元、大写：                元整。</w:t>
            </w:r>
          </w:p>
        </w:tc>
      </w:tr>
      <w:tr>
        <w:tblPrEx>
          <w:tblLayout w:type="fixed"/>
          <w:tblCellMar>
            <w:top w:w="0" w:type="dxa"/>
            <w:left w:w="0" w:type="dxa"/>
            <w:bottom w:w="0" w:type="dxa"/>
            <w:right w:w="0" w:type="dxa"/>
          </w:tblCellMar>
        </w:tblPrEx>
        <w:trPr>
          <w:trHeight w:val="1180" w:hRule="atLeast"/>
        </w:trPr>
        <w:tc>
          <w:tcPr>
            <w:tcW w:w="9766" w:type="dxa"/>
            <w:gridSpan w:val="10"/>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bdr w:val="none" w:color="auto" w:sz="0" w:space="0"/>
                <w:lang w:val="en-US" w:eastAsia="zh-CN" w:bidi="ar"/>
              </w:rPr>
              <w:t>注:1.以上预算费用除特殊标注外均包含原材料、施工工具、运输、安装、劳务、文明施工、安全施工、垃圾清扫与清运及税费等费用(学校仅免费提供水电)。2.数量以实际验收数量为准予以结算。在施工过程中，应学校要求，如出现增项或增量、改变方案、相关技术参数等原因，其超额须控制在成交总价的10%以内。3、新建工程，非人为损坏质保一年。</w:t>
            </w:r>
          </w:p>
        </w:tc>
      </w:tr>
    </w:tbl>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546FF9"/>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490F56"/>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1D1779"/>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DB166E"/>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7F02A88"/>
    <w:rsid w:val="497154DF"/>
    <w:rsid w:val="4A364969"/>
    <w:rsid w:val="4B3710C6"/>
    <w:rsid w:val="4C3D587F"/>
    <w:rsid w:val="4C5338DC"/>
    <w:rsid w:val="4C661EAD"/>
    <w:rsid w:val="4C8E350F"/>
    <w:rsid w:val="4C9D69C5"/>
    <w:rsid w:val="4D143759"/>
    <w:rsid w:val="4DF14748"/>
    <w:rsid w:val="4FDA5DC0"/>
    <w:rsid w:val="511D7321"/>
    <w:rsid w:val="51CE5049"/>
    <w:rsid w:val="52172637"/>
    <w:rsid w:val="521B665C"/>
    <w:rsid w:val="52DE7538"/>
    <w:rsid w:val="53D6057F"/>
    <w:rsid w:val="550E655A"/>
    <w:rsid w:val="55677B7D"/>
    <w:rsid w:val="55751482"/>
    <w:rsid w:val="55A44E60"/>
    <w:rsid w:val="56793777"/>
    <w:rsid w:val="56D23F20"/>
    <w:rsid w:val="57524BAD"/>
    <w:rsid w:val="58696FE1"/>
    <w:rsid w:val="586F1B02"/>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5D4ED0"/>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A717DD"/>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Users\ADMINI~1\AppData\Local\Temp\ksohtml\clip_image3.png" TargetMode="External"/><Relationship Id="rId7" Type="http://schemas.openxmlformats.org/officeDocument/2006/relationships/image" Target="file:///C:\Users\ADMINI~1\AppData\Local\Temp\ksohtml\clip_image5.png" TargetMode="External"/><Relationship Id="rId6" Type="http://schemas.openxmlformats.org/officeDocument/2006/relationships/image" Target="file:///C:\Users\ADMINI~1\AppData\Local\Temp\ksohtml\clip_image2.png" TargetMode="External"/><Relationship Id="rId5" Type="http://schemas.openxmlformats.org/officeDocument/2006/relationships/image" Target="file:///C:\Users\ADMINI~1\AppData\Local\Temp\ksohtml\clip_image6.png" TargetMode="External"/><Relationship Id="rId4" Type="http://schemas.openxmlformats.org/officeDocument/2006/relationships/image" Target="file:///C:\Users\ADMINI~1\AppData\Local\Temp\ksohtml\clip_image4.png"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0</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2026-05-12T08:30:27Z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