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等级保护测评服务</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等级保护测评服务</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备注: </w:t>
      </w:r>
      <w:bookmarkStart w:id="17" w:name="_GoBack"/>
      <w:bookmarkEnd w:id="17"/>
      <w:r>
        <w:rPr>
          <w:rFonts w:hint="eastAsia" w:ascii="宋体" w:hAnsi="宋体" w:eastAsia="宋体" w:cs="宋体"/>
          <w:b/>
          <w:bCs/>
          <w:sz w:val="18"/>
          <w:szCs w:val="18"/>
          <w:lang w:val="en-US" w:eastAsia="zh-CN"/>
        </w:rPr>
        <w:t>报价为包干价，含税费、运输费、安装费、人工费等一切费用。</w:t>
      </w:r>
    </w:p>
    <w:p>
      <w:pPr>
        <w:rPr>
          <w:rFonts w:hint="eastAsia" w:eastAsia="宋体"/>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widowControl w:val="0"/>
        <w:tabs>
          <w:tab w:val="left" w:pos="567"/>
          <w:tab w:val="left" w:pos="709"/>
          <w:tab w:val="right" w:leader="dot" w:pos="8505"/>
        </w:tabs>
        <w:spacing w:line="560" w:lineRule="exact"/>
        <w:jc w:val="center"/>
        <w:rPr>
          <w:rFonts w:hint="eastAsia" w:ascii="方正小标宋简体" w:hAnsi="等线" w:eastAsia="方正小标宋简体" w:cs="Times New Roman"/>
          <w:kern w:val="2"/>
          <w:sz w:val="44"/>
          <w:szCs w:val="32"/>
          <w:lang w:val="en-US" w:eastAsia="zh-CN" w:bidi="ar-SA"/>
        </w:rPr>
      </w:pPr>
      <w:r>
        <w:rPr>
          <w:rFonts w:hint="eastAsia" w:ascii="等线" w:hAnsi="等线" w:eastAsia="等线" w:cs="Times New Roman"/>
          <w:kern w:val="2"/>
          <w:sz w:val="21"/>
          <w:szCs w:val="22"/>
          <w:lang w:val="en-US" w:eastAsia="zh-CN" w:bidi="ar-SA"/>
        </w:rPr>
        <w:t>　　　　</w:t>
      </w:r>
      <w:r>
        <w:rPr>
          <w:rFonts w:hint="eastAsia" w:ascii="方正小标宋简体" w:hAnsi="等线" w:eastAsia="方正小标宋简体" w:cs="Times New Roman"/>
          <w:kern w:val="2"/>
          <w:sz w:val="44"/>
          <w:szCs w:val="32"/>
          <w:lang w:val="en-US" w:eastAsia="zh-CN" w:bidi="ar-SA"/>
        </w:rPr>
        <w:t>等级保护测评服务参数及要求</w:t>
      </w:r>
    </w:p>
    <w:p>
      <w:pPr>
        <w:keepNext/>
        <w:keepLines/>
        <w:numPr>
          <w:ilvl w:val="0"/>
          <w:numId w:val="1"/>
        </w:numPr>
        <w:spacing w:before="200" w:after="200" w:line="560" w:lineRule="exact"/>
        <w:ind w:left="420" w:hanging="420"/>
        <w:outlineLvl w:val="0"/>
        <w:rPr>
          <w:rFonts w:ascii="黑体" w:hAnsi="黑体" w:eastAsia="黑体"/>
          <w:b/>
          <w:bCs/>
          <w:kern w:val="44"/>
        </w:rPr>
      </w:pPr>
      <w:r>
        <w:rPr>
          <w:rFonts w:hint="eastAsia" w:ascii="黑体" w:hAnsi="黑体" w:eastAsia="黑体"/>
          <w:b/>
          <w:bCs/>
          <w:kern w:val="44"/>
        </w:rPr>
        <w:t>资格要求</w:t>
      </w:r>
    </w:p>
    <w:p>
      <w:pPr>
        <w:spacing w:line="560" w:lineRule="exact"/>
        <w:ind w:firstLine="420" w:firstLineChars="200"/>
        <w:rPr>
          <w:rFonts w:hint="eastAsia" w:ascii="仿宋" w:hAnsi="仿宋"/>
          <w:szCs w:val="24"/>
        </w:rPr>
      </w:pPr>
      <w:bookmarkStart w:id="0" w:name="_Hlk148454560"/>
      <w:r>
        <w:rPr>
          <w:rFonts w:hint="eastAsia" w:ascii="仿宋" w:hAnsi="仿宋"/>
          <w:szCs w:val="24"/>
        </w:rPr>
        <w:t>1、在中华人民共和国境内注册成立,由中国公民投资、中国法人投资或者国家投资的企事业单位,工作人员仅限于中国公民,具有独立承担民事责任的能力；</w:t>
      </w:r>
    </w:p>
    <w:p>
      <w:pPr>
        <w:spacing w:line="560" w:lineRule="exact"/>
        <w:ind w:firstLine="420" w:firstLineChars="200"/>
        <w:rPr>
          <w:rFonts w:hint="eastAsia" w:ascii="仿宋" w:hAnsi="仿宋"/>
          <w:szCs w:val="24"/>
        </w:rPr>
      </w:pPr>
      <w:r>
        <w:rPr>
          <w:rFonts w:hint="eastAsia" w:ascii="仿宋" w:hAnsi="仿宋"/>
          <w:szCs w:val="24"/>
        </w:rPr>
        <w:t>2、具有良好的商业信誉和健全的财务会计制度；</w:t>
      </w:r>
    </w:p>
    <w:p>
      <w:pPr>
        <w:spacing w:line="560" w:lineRule="exact"/>
        <w:ind w:firstLine="420" w:firstLineChars="200"/>
        <w:rPr>
          <w:rFonts w:hint="eastAsia" w:ascii="仿宋" w:hAnsi="仿宋"/>
          <w:szCs w:val="24"/>
        </w:rPr>
      </w:pPr>
      <w:r>
        <w:rPr>
          <w:rFonts w:hint="eastAsia" w:ascii="仿宋" w:hAnsi="仿宋"/>
          <w:szCs w:val="24"/>
        </w:rPr>
        <w:t>3、具有履行合同所必须的设备和专业技术能力,从事相关检测评估工作两年以上，无违法记录；</w:t>
      </w:r>
    </w:p>
    <w:p>
      <w:pPr>
        <w:spacing w:line="560" w:lineRule="exact"/>
        <w:ind w:firstLine="420" w:firstLineChars="200"/>
        <w:rPr>
          <w:rFonts w:hint="eastAsia" w:ascii="仿宋" w:hAnsi="仿宋"/>
          <w:szCs w:val="24"/>
        </w:rPr>
      </w:pPr>
      <w:r>
        <w:rPr>
          <w:rFonts w:hint="eastAsia" w:ascii="仿宋" w:hAnsi="仿宋"/>
          <w:szCs w:val="24"/>
        </w:rPr>
        <w:t>4、具有依法缴纳税收和社会保障资金的良好记录；</w:t>
      </w:r>
    </w:p>
    <w:p>
      <w:pPr>
        <w:spacing w:line="560" w:lineRule="exact"/>
        <w:ind w:firstLine="420" w:firstLineChars="200"/>
        <w:rPr>
          <w:rFonts w:hint="eastAsia" w:ascii="仿宋" w:hAnsi="仿宋"/>
          <w:szCs w:val="24"/>
        </w:rPr>
      </w:pPr>
      <w:r>
        <w:rPr>
          <w:rFonts w:hint="eastAsia" w:ascii="仿宋" w:hAnsi="仿宋"/>
          <w:szCs w:val="24"/>
        </w:rPr>
        <w:t>5、参加本次政府采购活动前三年内（202</w:t>
      </w:r>
      <w:r>
        <w:rPr>
          <w:rFonts w:hint="eastAsia" w:ascii="仿宋" w:hAnsi="仿宋"/>
          <w:szCs w:val="24"/>
          <w:lang w:val="en-US" w:eastAsia="zh-CN"/>
        </w:rPr>
        <w:t>3</w:t>
      </w:r>
      <w:r>
        <w:rPr>
          <w:rFonts w:hint="eastAsia" w:ascii="仿宋" w:hAnsi="仿宋"/>
          <w:szCs w:val="24"/>
        </w:rPr>
        <w:t>年</w:t>
      </w:r>
      <w:r>
        <w:rPr>
          <w:rFonts w:hint="eastAsia" w:ascii="仿宋" w:hAnsi="仿宋"/>
          <w:szCs w:val="24"/>
          <w:lang w:val="en-US" w:eastAsia="zh-CN"/>
        </w:rPr>
        <w:t>6</w:t>
      </w:r>
      <w:r>
        <w:rPr>
          <w:rFonts w:hint="eastAsia" w:ascii="仿宋" w:hAnsi="仿宋"/>
          <w:szCs w:val="24"/>
        </w:rPr>
        <w:t>月</w:t>
      </w:r>
      <w:r>
        <w:rPr>
          <w:rFonts w:hint="eastAsia" w:ascii="仿宋" w:hAnsi="仿宋"/>
          <w:szCs w:val="24"/>
          <w:lang w:val="en-US" w:eastAsia="zh-CN"/>
        </w:rPr>
        <w:t>12</w:t>
      </w:r>
      <w:r>
        <w:rPr>
          <w:rFonts w:hint="eastAsia" w:ascii="仿宋" w:hAnsi="仿宋"/>
          <w:szCs w:val="24"/>
        </w:rPr>
        <w:t>日至202</w:t>
      </w:r>
      <w:r>
        <w:rPr>
          <w:rFonts w:hint="eastAsia" w:ascii="仿宋" w:hAnsi="仿宋"/>
          <w:szCs w:val="24"/>
          <w:lang w:val="en-US" w:eastAsia="zh-CN"/>
        </w:rPr>
        <w:t>6</w:t>
      </w:r>
      <w:r>
        <w:rPr>
          <w:rFonts w:hint="eastAsia" w:ascii="仿宋" w:hAnsi="仿宋"/>
          <w:szCs w:val="24"/>
        </w:rPr>
        <w:t>年</w:t>
      </w:r>
      <w:r>
        <w:rPr>
          <w:rFonts w:hint="eastAsia" w:ascii="仿宋" w:hAnsi="仿宋"/>
          <w:szCs w:val="24"/>
          <w:lang w:val="en-US" w:eastAsia="zh-CN"/>
        </w:rPr>
        <w:t>6</w:t>
      </w:r>
      <w:r>
        <w:rPr>
          <w:rFonts w:hint="eastAsia" w:ascii="仿宋" w:hAnsi="仿宋"/>
          <w:szCs w:val="24"/>
        </w:rPr>
        <w:t>月</w:t>
      </w:r>
      <w:r>
        <w:rPr>
          <w:rFonts w:hint="eastAsia" w:ascii="仿宋" w:hAnsi="仿宋"/>
          <w:szCs w:val="24"/>
          <w:lang w:val="en-US" w:eastAsia="zh-CN"/>
        </w:rPr>
        <w:t>11</w:t>
      </w:r>
      <w:r>
        <w:rPr>
          <w:rFonts w:hint="eastAsia" w:ascii="仿宋" w:hAnsi="仿宋"/>
          <w:szCs w:val="24"/>
        </w:rPr>
        <w:t>日），在经营活动中没有重大违法记录；</w:t>
      </w:r>
    </w:p>
    <w:p>
      <w:pPr>
        <w:spacing w:line="560" w:lineRule="exact"/>
        <w:ind w:firstLine="420" w:firstLineChars="200"/>
        <w:rPr>
          <w:rFonts w:hint="eastAsia" w:ascii="仿宋" w:hAnsi="仿宋"/>
          <w:szCs w:val="24"/>
        </w:rPr>
      </w:pPr>
      <w:r>
        <w:rPr>
          <w:rFonts w:hint="eastAsia" w:ascii="仿宋" w:hAnsi="仿宋"/>
          <w:szCs w:val="24"/>
        </w:rPr>
        <w:t>6、法人及主要业务、技术人员无犯罪记录;</w:t>
      </w:r>
    </w:p>
    <w:p>
      <w:pPr>
        <w:spacing w:line="560" w:lineRule="exact"/>
        <w:ind w:firstLine="420" w:firstLineChars="200"/>
        <w:rPr>
          <w:rFonts w:hint="eastAsia" w:ascii="仿宋" w:hAnsi="仿宋"/>
          <w:szCs w:val="24"/>
        </w:rPr>
      </w:pPr>
      <w:r>
        <w:rPr>
          <w:rFonts w:hint="eastAsia" w:ascii="仿宋" w:hAnsi="仿宋"/>
          <w:szCs w:val="24"/>
        </w:rPr>
        <w:t>7、</w:t>
      </w:r>
      <w:bookmarkStart w:id="1" w:name="_Hlk162366546"/>
      <w:r>
        <w:rPr>
          <w:rFonts w:hint="eastAsia" w:ascii="仿宋" w:hAnsi="仿宋"/>
          <w:szCs w:val="24"/>
        </w:rPr>
        <w:t>须具有中华人民共和国公安部第三研究所颁发的《网络安全服务认证证书等级保护测评服务认证》，省外测评机构还需提供公安机关“异地备案证明”材料，并在有效期内</w:t>
      </w:r>
      <w:bookmarkEnd w:id="1"/>
      <w:r>
        <w:rPr>
          <w:rFonts w:hint="eastAsia" w:ascii="仿宋" w:hAnsi="仿宋"/>
          <w:szCs w:val="24"/>
        </w:rPr>
        <w:t>；</w:t>
      </w:r>
    </w:p>
    <w:p>
      <w:pPr>
        <w:spacing w:line="560" w:lineRule="exact"/>
        <w:ind w:firstLine="420" w:firstLineChars="200"/>
        <w:rPr>
          <w:rFonts w:hint="eastAsia" w:ascii="仿宋" w:hAnsi="仿宋"/>
          <w:szCs w:val="24"/>
        </w:rPr>
      </w:pPr>
      <w:r>
        <w:rPr>
          <w:rFonts w:hint="eastAsia" w:ascii="仿宋" w:hAnsi="仿宋"/>
          <w:szCs w:val="24"/>
          <w:lang w:val="en-US" w:eastAsia="zh-CN"/>
        </w:rPr>
        <w:t>8</w:t>
      </w:r>
      <w:r>
        <w:rPr>
          <w:rFonts w:hint="eastAsia" w:ascii="仿宋" w:hAnsi="仿宋"/>
          <w:szCs w:val="24"/>
        </w:rPr>
        <w:t>、具有完备的保密管理、项目管理、质量管理、人员管理和培训教育等安全管理制度；</w:t>
      </w:r>
    </w:p>
    <w:p>
      <w:pPr>
        <w:spacing w:line="560" w:lineRule="exact"/>
        <w:ind w:firstLine="420" w:firstLineChars="200"/>
        <w:rPr>
          <w:rFonts w:hint="eastAsia" w:ascii="仿宋" w:hAnsi="仿宋"/>
          <w:szCs w:val="24"/>
        </w:rPr>
      </w:pPr>
      <w:r>
        <w:rPr>
          <w:rFonts w:hint="eastAsia" w:ascii="仿宋" w:hAnsi="仿宋"/>
          <w:szCs w:val="24"/>
          <w:lang w:val="en-US" w:eastAsia="zh-CN"/>
        </w:rPr>
        <w:t>9</w:t>
      </w:r>
      <w:r>
        <w:rPr>
          <w:rFonts w:hint="eastAsia" w:ascii="仿宋" w:hAnsi="仿宋"/>
          <w:szCs w:val="24"/>
        </w:rPr>
        <w:t>、不允许联合体投标；</w:t>
      </w:r>
    </w:p>
    <w:p>
      <w:pPr>
        <w:spacing w:line="560" w:lineRule="exact"/>
        <w:ind w:firstLine="420" w:firstLineChars="200"/>
        <w:rPr>
          <w:rFonts w:hint="eastAsia" w:ascii="仿宋" w:hAnsi="仿宋"/>
          <w:szCs w:val="24"/>
        </w:rPr>
      </w:pPr>
      <w:r>
        <w:rPr>
          <w:rFonts w:hint="eastAsia" w:ascii="仿宋" w:hAnsi="仿宋"/>
          <w:szCs w:val="24"/>
        </w:rPr>
        <w:t>1</w:t>
      </w:r>
      <w:r>
        <w:rPr>
          <w:rFonts w:hint="eastAsia" w:ascii="仿宋" w:hAnsi="仿宋"/>
          <w:szCs w:val="24"/>
          <w:lang w:val="en-US" w:eastAsia="zh-CN"/>
        </w:rPr>
        <w:t>0</w:t>
      </w:r>
      <w:r>
        <w:rPr>
          <w:rFonts w:hint="eastAsia" w:ascii="仿宋" w:hAnsi="仿宋"/>
          <w:szCs w:val="24"/>
        </w:rPr>
        <w:t>、法律、法规规定的其他条件。</w:t>
      </w:r>
    </w:p>
    <w:bookmarkEnd w:id="0"/>
    <w:p>
      <w:pPr>
        <w:keepNext/>
        <w:keepLines/>
        <w:numPr>
          <w:ilvl w:val="0"/>
          <w:numId w:val="1"/>
        </w:numPr>
        <w:spacing w:before="200" w:after="200" w:line="560" w:lineRule="exact"/>
        <w:ind w:left="420" w:hanging="420"/>
        <w:outlineLvl w:val="0"/>
        <w:rPr>
          <w:rFonts w:ascii="黑体" w:hAnsi="黑体" w:eastAsia="黑体"/>
          <w:b/>
          <w:bCs/>
          <w:kern w:val="44"/>
        </w:rPr>
      </w:pPr>
      <w:bookmarkStart w:id="2" w:name="_Toc18396"/>
      <w:r>
        <w:rPr>
          <w:rFonts w:hint="eastAsia" w:ascii="黑体" w:hAnsi="黑体" w:eastAsia="黑体"/>
          <w:b/>
          <w:bCs/>
          <w:kern w:val="44"/>
        </w:rPr>
        <w:t>测评要求</w:t>
      </w:r>
      <w:bookmarkEnd w:id="2"/>
    </w:p>
    <w:p>
      <w:pPr>
        <w:keepNext/>
        <w:keepLines/>
        <w:numPr>
          <w:ilvl w:val="0"/>
          <w:numId w:val="2"/>
        </w:numPr>
        <w:spacing w:before="200" w:after="200" w:line="560" w:lineRule="exact"/>
        <w:ind w:left="0" w:firstLine="0"/>
        <w:outlineLvl w:val="1"/>
        <w:rPr>
          <w:rFonts w:ascii="楷体" w:hAnsi="楷体" w:eastAsia="楷体"/>
          <w:b/>
          <w:bCs/>
          <w:kern w:val="0"/>
        </w:rPr>
      </w:pPr>
      <w:bookmarkStart w:id="3" w:name="_Toc328497604"/>
      <w:bookmarkStart w:id="4" w:name="_Toc263703683"/>
      <w:bookmarkStart w:id="5" w:name="_Toc513644851"/>
      <w:bookmarkStart w:id="6" w:name="_Toc496626074"/>
      <w:bookmarkStart w:id="7" w:name="_Toc29765"/>
      <w:bookmarkStart w:id="8" w:name="_Toc496775080"/>
      <w:bookmarkStart w:id="9" w:name="_Toc230413777"/>
      <w:r>
        <w:rPr>
          <w:rFonts w:hint="eastAsia" w:ascii="楷体" w:hAnsi="楷体" w:eastAsia="楷体"/>
          <w:b/>
          <w:bCs/>
          <w:kern w:val="0"/>
        </w:rPr>
        <w:t>测评原则</w:t>
      </w:r>
      <w:bookmarkEnd w:id="3"/>
      <w:bookmarkEnd w:id="4"/>
      <w:bookmarkEnd w:id="5"/>
      <w:bookmarkEnd w:id="6"/>
      <w:bookmarkEnd w:id="7"/>
      <w:bookmarkEnd w:id="8"/>
    </w:p>
    <w:p>
      <w:pPr>
        <w:widowControl/>
        <w:tabs>
          <w:tab w:val="left" w:pos="0"/>
          <w:tab w:val="left" w:pos="420"/>
        </w:tabs>
        <w:spacing w:line="560" w:lineRule="exact"/>
        <w:ind w:firstLine="422" w:firstLineChars="200"/>
        <w:rPr>
          <w:rFonts w:ascii="仿宋" w:hAnsi="仿宋"/>
          <w:kern w:val="0"/>
        </w:rPr>
      </w:pPr>
      <w:r>
        <w:rPr>
          <w:rFonts w:hint="eastAsia" w:ascii="仿宋" w:hAnsi="仿宋"/>
          <w:b/>
          <w:kern w:val="0"/>
        </w:rPr>
        <w:t>符合性原则：</w:t>
      </w:r>
      <w:r>
        <w:rPr>
          <w:rFonts w:hint="eastAsia" w:ascii="仿宋" w:hAnsi="仿宋"/>
          <w:kern w:val="0"/>
        </w:rPr>
        <w:t>应符合国家网络安全等级保护制度及相关法律法规，指出防范的方针和保护的原则。</w:t>
      </w:r>
    </w:p>
    <w:p>
      <w:pPr>
        <w:widowControl/>
        <w:tabs>
          <w:tab w:val="left" w:pos="0"/>
          <w:tab w:val="left" w:pos="420"/>
        </w:tabs>
        <w:spacing w:line="560" w:lineRule="exact"/>
        <w:ind w:firstLine="422" w:firstLineChars="200"/>
        <w:rPr>
          <w:rFonts w:ascii="仿宋" w:hAnsi="仿宋"/>
          <w:b/>
          <w:kern w:val="0"/>
        </w:rPr>
      </w:pPr>
      <w:r>
        <w:rPr>
          <w:rFonts w:hint="eastAsia" w:ascii="仿宋" w:hAnsi="仿宋"/>
          <w:b/>
          <w:kern w:val="0"/>
        </w:rPr>
        <w:t>标准性原则：</w:t>
      </w:r>
      <w:r>
        <w:rPr>
          <w:rFonts w:hint="eastAsia" w:ascii="仿宋" w:hAnsi="仿宋"/>
          <w:kern w:val="0"/>
        </w:rPr>
        <w:t>方案设计、实施与网络安全体系的构建应依据国内、国际的相关标准进行。</w:t>
      </w:r>
    </w:p>
    <w:p>
      <w:pPr>
        <w:widowControl/>
        <w:tabs>
          <w:tab w:val="left" w:pos="0"/>
          <w:tab w:val="left" w:pos="420"/>
        </w:tabs>
        <w:spacing w:line="560" w:lineRule="exact"/>
        <w:ind w:firstLine="422" w:firstLineChars="200"/>
        <w:rPr>
          <w:rFonts w:ascii="仿宋" w:hAnsi="仿宋"/>
          <w:kern w:val="0"/>
        </w:rPr>
      </w:pPr>
      <w:r>
        <w:rPr>
          <w:rFonts w:hint="eastAsia" w:ascii="仿宋" w:hAnsi="仿宋"/>
          <w:b/>
          <w:kern w:val="0"/>
        </w:rPr>
        <w:t>规范性原则：</w:t>
      </w:r>
      <w:r>
        <w:rPr>
          <w:rFonts w:hint="eastAsia" w:ascii="仿宋" w:hAnsi="仿宋"/>
          <w:kern w:val="0"/>
        </w:rPr>
        <w:t>项目实施应由专业的等级测评师依照规范的操作流程进行，在实施之前将详细量化出每项测评内容，对操作过程和结果提供规范的记录，以便于项目的跟踪和控制。</w:t>
      </w:r>
    </w:p>
    <w:p>
      <w:pPr>
        <w:widowControl/>
        <w:tabs>
          <w:tab w:val="left" w:pos="0"/>
          <w:tab w:val="left" w:pos="420"/>
        </w:tabs>
        <w:spacing w:line="560" w:lineRule="exact"/>
        <w:ind w:firstLine="422" w:firstLineChars="200"/>
        <w:rPr>
          <w:rFonts w:ascii="仿宋" w:hAnsi="仿宋"/>
          <w:b/>
          <w:kern w:val="0"/>
        </w:rPr>
      </w:pPr>
      <w:r>
        <w:rPr>
          <w:rFonts w:hint="eastAsia" w:ascii="仿宋" w:hAnsi="仿宋"/>
          <w:b/>
          <w:kern w:val="0"/>
        </w:rPr>
        <w:t>可控性原则：</w:t>
      </w:r>
      <w:r>
        <w:rPr>
          <w:rFonts w:hint="eastAsia" w:ascii="仿宋" w:hAnsi="仿宋"/>
          <w:kern w:val="0"/>
        </w:rPr>
        <w:t>项目实施的方法和过程要在双方认可的范围之内，实施进度要按照进度表进度的安排，保证项目实施的可控性。</w:t>
      </w:r>
    </w:p>
    <w:p>
      <w:pPr>
        <w:widowControl/>
        <w:tabs>
          <w:tab w:val="left" w:pos="0"/>
          <w:tab w:val="left" w:pos="420"/>
        </w:tabs>
        <w:spacing w:line="560" w:lineRule="exact"/>
        <w:ind w:firstLine="422" w:firstLineChars="200"/>
        <w:rPr>
          <w:rFonts w:ascii="仿宋" w:hAnsi="仿宋"/>
          <w:kern w:val="0"/>
        </w:rPr>
      </w:pPr>
      <w:r>
        <w:rPr>
          <w:rFonts w:hint="eastAsia" w:ascii="仿宋" w:hAnsi="仿宋"/>
          <w:b/>
          <w:kern w:val="0"/>
        </w:rPr>
        <w:t>整体性原则：</w:t>
      </w:r>
      <w:r>
        <w:rPr>
          <w:rFonts w:hint="eastAsia" w:ascii="仿宋" w:hAnsi="仿宋"/>
          <w:kern w:val="0"/>
        </w:rPr>
        <w:t>安全体系设计的范围和内容应当整体全面，包括安全涉及的各个层面，避免由于遗漏造成未来的安全隐患。</w:t>
      </w:r>
    </w:p>
    <w:p>
      <w:pPr>
        <w:widowControl/>
        <w:tabs>
          <w:tab w:val="left" w:pos="0"/>
          <w:tab w:val="left" w:pos="420"/>
        </w:tabs>
        <w:spacing w:line="560" w:lineRule="exact"/>
        <w:ind w:firstLine="422" w:firstLineChars="200"/>
        <w:rPr>
          <w:rFonts w:ascii="仿宋" w:hAnsi="仿宋"/>
          <w:kern w:val="0"/>
        </w:rPr>
      </w:pPr>
      <w:r>
        <w:rPr>
          <w:rFonts w:hint="eastAsia" w:ascii="仿宋" w:hAnsi="仿宋"/>
          <w:b/>
          <w:kern w:val="0"/>
        </w:rPr>
        <w:t>最小影响原则：</w:t>
      </w:r>
      <w:r>
        <w:rPr>
          <w:rFonts w:hint="eastAsia" w:ascii="仿宋" w:hAnsi="仿宋"/>
          <w:kern w:val="0"/>
        </w:rPr>
        <w:t>项目实施工作应尽可能小的影响网络和信息系统的正常运行，不能对信息系统的运行和业务的正常提供产生显著影响。</w:t>
      </w:r>
    </w:p>
    <w:p>
      <w:pPr>
        <w:widowControl/>
        <w:tabs>
          <w:tab w:val="left" w:pos="0"/>
          <w:tab w:val="left" w:pos="420"/>
        </w:tabs>
        <w:spacing w:line="560" w:lineRule="exact"/>
        <w:ind w:firstLine="422" w:firstLineChars="200"/>
        <w:rPr>
          <w:rFonts w:hint="eastAsia" w:ascii="仿宋" w:hAnsi="仿宋"/>
          <w:kern w:val="0"/>
        </w:rPr>
      </w:pPr>
      <w:r>
        <w:rPr>
          <w:rFonts w:hint="eastAsia" w:ascii="仿宋" w:hAnsi="仿宋"/>
          <w:b/>
          <w:kern w:val="0"/>
        </w:rPr>
        <w:t>保密原则：</w:t>
      </w:r>
      <w:r>
        <w:rPr>
          <w:rFonts w:hint="eastAsia" w:ascii="仿宋" w:hAnsi="仿宋"/>
          <w:kern w:val="0"/>
        </w:rPr>
        <w:t>对项目实施过程获得的数据和结果严格保密，未经授权不得泄露给任何单位和个人，不得利用此数据和结果进行任何侵害测评委托单位利益的行为。</w:t>
      </w:r>
      <w:bookmarkEnd w:id="9"/>
      <w:bookmarkStart w:id="10" w:name="_Toc230413778"/>
      <w:bookmarkStart w:id="11" w:name="_Toc496775081"/>
      <w:bookmarkStart w:id="12" w:name="_Toc328497605"/>
      <w:bookmarkStart w:id="13" w:name="_Toc17407"/>
      <w:bookmarkStart w:id="14" w:name="_Toc513644852"/>
      <w:bookmarkStart w:id="15" w:name="_Toc496626075"/>
    </w:p>
    <w:p>
      <w:pPr>
        <w:widowControl/>
        <w:tabs>
          <w:tab w:val="left" w:pos="0"/>
          <w:tab w:val="left" w:pos="420"/>
        </w:tabs>
        <w:spacing w:line="560" w:lineRule="exact"/>
        <w:ind w:firstLine="420" w:firstLineChars="200"/>
        <w:rPr>
          <w:rFonts w:ascii="楷体" w:hAnsi="楷体" w:eastAsia="楷体"/>
          <w:b/>
          <w:bCs/>
          <w:kern w:val="0"/>
        </w:rPr>
      </w:pPr>
      <w:r>
        <w:rPr>
          <w:rFonts w:hint="eastAsia" w:ascii="仿宋" w:hAnsi="仿宋" w:eastAsia="楷体"/>
          <w:kern w:val="0"/>
          <w:lang w:eastAsia="zh-CN"/>
        </w:rPr>
        <w:t>（二）</w:t>
      </w:r>
      <w:r>
        <w:rPr>
          <w:rFonts w:hint="eastAsia" w:ascii="楷体" w:hAnsi="楷体" w:eastAsia="楷体"/>
          <w:b/>
          <w:bCs/>
          <w:kern w:val="0"/>
        </w:rPr>
        <w:t>测评依据</w:t>
      </w:r>
      <w:bookmarkEnd w:id="10"/>
      <w:bookmarkEnd w:id="11"/>
      <w:bookmarkEnd w:id="12"/>
      <w:bookmarkEnd w:id="13"/>
      <w:bookmarkEnd w:id="14"/>
      <w:bookmarkEnd w:id="15"/>
    </w:p>
    <w:p>
      <w:pPr>
        <w:widowControl/>
        <w:autoSpaceDE w:val="0"/>
        <w:autoSpaceDN w:val="0"/>
        <w:adjustRightInd w:val="0"/>
        <w:spacing w:line="560" w:lineRule="exact"/>
        <w:ind w:firstLine="420" w:firstLineChars="200"/>
        <w:jc w:val="left"/>
        <w:textAlignment w:val="baseline"/>
        <w:rPr>
          <w:rFonts w:ascii="仿宋" w:hAnsi="仿宋"/>
          <w:kern w:val="0"/>
        </w:rPr>
      </w:pPr>
      <w:r>
        <w:rPr>
          <w:rFonts w:hint="eastAsia" w:ascii="仿宋" w:hAnsi="仿宋"/>
          <w:kern w:val="0"/>
        </w:rPr>
        <w:t>信息系统等级测评依据《网络安全等级保护基本要求》、《网络安全等级保护测评要求》，在对信息系统进行安全技术和安全管理的安全控制测评及系统整体测评结果基础上，针对相应等级的信息系统遵循的标准进行综合系统测评，提出相应的系统安全整改建议。</w:t>
      </w:r>
    </w:p>
    <w:p>
      <w:pPr>
        <w:widowControl/>
        <w:numPr>
          <w:ilvl w:val="0"/>
          <w:numId w:val="3"/>
        </w:numPr>
        <w:spacing w:before="200" w:after="200" w:line="560" w:lineRule="exact"/>
        <w:ind w:left="0" w:firstLine="0"/>
        <w:jc w:val="left"/>
        <w:outlineLvl w:val="1"/>
        <w:rPr>
          <w:rFonts w:ascii="楷体" w:hAnsi="楷体" w:eastAsia="楷体"/>
          <w:b/>
          <w:kern w:val="0"/>
        </w:rPr>
      </w:pPr>
      <w:r>
        <w:rPr>
          <w:rFonts w:ascii="楷体" w:hAnsi="楷体" w:eastAsia="楷体"/>
          <w:b/>
          <w:kern w:val="0"/>
        </w:rPr>
        <w:t xml:space="preserve"> </w:t>
      </w:r>
      <w:r>
        <w:rPr>
          <w:rFonts w:hint="eastAsia" w:ascii="楷体" w:hAnsi="楷体" w:eastAsia="楷体"/>
          <w:b/>
          <w:kern w:val="0"/>
        </w:rPr>
        <w:t>测评对象</w:t>
      </w:r>
    </w:p>
    <w:tbl>
      <w:tblPr>
        <w:tblStyle w:val="34"/>
        <w:tblW w:w="8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5090"/>
        <w:gridCol w:w="1808"/>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4" w:hRule="atLeast"/>
          <w:jc w:val="center"/>
        </w:trPr>
        <w:tc>
          <w:tcPr>
            <w:tcW w:w="815" w:type="dxa"/>
            <w:shd w:val="clear" w:color="auto" w:fill="auto"/>
            <w:noWrap w:val="0"/>
            <w:tcMar>
              <w:top w:w="12" w:type="dxa"/>
              <w:left w:w="12" w:type="dxa"/>
              <w:right w:w="12" w:type="dxa"/>
            </w:tcMar>
            <w:vAlign w:val="center"/>
          </w:tcPr>
          <w:p>
            <w:pPr>
              <w:widowControl/>
              <w:spacing w:line="560" w:lineRule="exact"/>
              <w:jc w:val="center"/>
              <w:textAlignment w:val="center"/>
              <w:rPr>
                <w:rFonts w:ascii="宋体" w:hAnsi="宋体" w:cs="宋体"/>
                <w:b/>
                <w:szCs w:val="21"/>
              </w:rPr>
            </w:pPr>
            <w:r>
              <w:rPr>
                <w:rFonts w:hint="eastAsia" w:ascii="宋体" w:hAnsi="宋体" w:cs="宋体"/>
                <w:b/>
                <w:kern w:val="0"/>
                <w:szCs w:val="21"/>
              </w:rPr>
              <w:t>序号</w:t>
            </w:r>
          </w:p>
        </w:tc>
        <w:tc>
          <w:tcPr>
            <w:tcW w:w="5090" w:type="dxa"/>
            <w:shd w:val="clear" w:color="auto" w:fill="auto"/>
            <w:noWrap w:val="0"/>
            <w:tcMar>
              <w:top w:w="12" w:type="dxa"/>
              <w:left w:w="12" w:type="dxa"/>
              <w:right w:w="12" w:type="dxa"/>
            </w:tcMar>
            <w:vAlign w:val="center"/>
          </w:tcPr>
          <w:p>
            <w:pPr>
              <w:widowControl/>
              <w:spacing w:line="560" w:lineRule="exact"/>
              <w:jc w:val="center"/>
              <w:textAlignment w:val="center"/>
              <w:rPr>
                <w:rFonts w:ascii="宋体" w:hAnsi="宋体" w:cs="宋体"/>
                <w:b/>
                <w:szCs w:val="21"/>
                <w:highlight w:val="yellow"/>
              </w:rPr>
            </w:pPr>
            <w:r>
              <w:rPr>
                <w:rFonts w:hint="eastAsia" w:cs="仿宋"/>
                <w:b/>
                <w:kern w:val="0"/>
                <w:szCs w:val="21"/>
              </w:rPr>
              <w:t>系统名称</w:t>
            </w:r>
          </w:p>
        </w:tc>
        <w:tc>
          <w:tcPr>
            <w:tcW w:w="1808" w:type="dxa"/>
            <w:noWrap w:val="0"/>
            <w:vAlign w:val="center"/>
          </w:tcPr>
          <w:p>
            <w:pPr>
              <w:widowControl/>
              <w:spacing w:line="560" w:lineRule="exact"/>
              <w:jc w:val="center"/>
              <w:textAlignment w:val="center"/>
              <w:rPr>
                <w:rFonts w:ascii="宋体" w:hAnsi="宋体" w:cs="宋体"/>
                <w:b/>
                <w:kern w:val="0"/>
                <w:szCs w:val="21"/>
              </w:rPr>
            </w:pPr>
            <w:r>
              <w:rPr>
                <w:rFonts w:hint="eastAsia" w:cs="仿宋"/>
                <w:b/>
                <w:kern w:val="0"/>
                <w:szCs w:val="21"/>
              </w:rPr>
              <w:t>安全等级</w:t>
            </w:r>
          </w:p>
        </w:tc>
        <w:tc>
          <w:tcPr>
            <w:tcW w:w="1149" w:type="dxa"/>
            <w:noWrap w:val="0"/>
            <w:vAlign w:val="center"/>
          </w:tcPr>
          <w:p>
            <w:pPr>
              <w:widowControl/>
              <w:spacing w:line="560" w:lineRule="exact"/>
              <w:jc w:val="center"/>
              <w:textAlignment w:val="center"/>
              <w:rPr>
                <w:rFonts w:cs="仿宋"/>
                <w:b/>
                <w:kern w:val="0"/>
                <w:szCs w:val="21"/>
              </w:rPr>
            </w:pPr>
            <w:r>
              <w:rPr>
                <w:rFonts w:hint="eastAsia" w:cs="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815" w:type="dxa"/>
            <w:shd w:val="clear" w:color="auto" w:fill="auto"/>
            <w:noWrap w:val="0"/>
            <w:tcMar>
              <w:top w:w="12" w:type="dxa"/>
              <w:left w:w="12" w:type="dxa"/>
              <w:right w:w="12" w:type="dxa"/>
            </w:tcMar>
            <w:vAlign w:val="center"/>
          </w:tcPr>
          <w:p>
            <w:pPr>
              <w:widowControl/>
              <w:spacing w:line="560" w:lineRule="exact"/>
              <w:jc w:val="center"/>
              <w:textAlignment w:val="center"/>
              <w:rPr>
                <w:rFonts w:ascii="仿宋" w:hAnsi="仿宋" w:cs="宋体"/>
              </w:rPr>
            </w:pPr>
            <w:r>
              <w:rPr>
                <w:rFonts w:hint="eastAsia" w:ascii="仿宋" w:hAnsi="仿宋" w:cs="宋体"/>
                <w:kern w:val="0"/>
              </w:rPr>
              <w:t>1</w:t>
            </w:r>
          </w:p>
        </w:tc>
        <w:tc>
          <w:tcPr>
            <w:tcW w:w="5090" w:type="dxa"/>
            <w:shd w:val="clear" w:color="auto" w:fill="auto"/>
            <w:noWrap w:val="0"/>
            <w:tcMar>
              <w:top w:w="12" w:type="dxa"/>
              <w:left w:w="12" w:type="dxa"/>
              <w:right w:w="12" w:type="dxa"/>
            </w:tcMar>
            <w:vAlign w:val="center"/>
          </w:tcPr>
          <w:p>
            <w:pPr>
              <w:widowControl/>
              <w:spacing w:line="560" w:lineRule="exact"/>
              <w:jc w:val="center"/>
              <w:textAlignment w:val="center"/>
              <w:rPr>
                <w:rFonts w:ascii="宋体" w:hAnsi="宋体" w:cs="宋体"/>
                <w:szCs w:val="21"/>
                <w:highlight w:val="yellow"/>
              </w:rPr>
            </w:pPr>
            <w:r>
              <w:rPr>
                <w:rFonts w:hint="eastAsia" w:ascii="宋体" w:hAnsi="宋体" w:cs="宋体"/>
                <w:szCs w:val="21"/>
              </w:rPr>
              <w:t>教务系统</w:t>
            </w:r>
          </w:p>
        </w:tc>
        <w:tc>
          <w:tcPr>
            <w:tcW w:w="1808" w:type="dxa"/>
            <w:noWrap w:val="0"/>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三级</w:t>
            </w:r>
          </w:p>
        </w:tc>
        <w:tc>
          <w:tcPr>
            <w:tcW w:w="1149" w:type="dxa"/>
            <w:noWrap w:val="0"/>
            <w:vAlign w:val="center"/>
          </w:tcPr>
          <w:p>
            <w:pPr>
              <w:widowControl/>
              <w:spacing w:line="560" w:lineRule="exact"/>
              <w:jc w:val="center"/>
              <w:textAlignment w:val="center"/>
              <w:rPr>
                <w:rFonts w:ascii="宋体" w:hAnsi="宋体" w:cs="宋体"/>
                <w:szCs w:val="21"/>
              </w:rPr>
            </w:pPr>
          </w:p>
        </w:tc>
      </w:tr>
    </w:tbl>
    <w:p>
      <w:pPr>
        <w:keepNext/>
        <w:keepLines/>
        <w:numPr>
          <w:ilvl w:val="0"/>
          <w:numId w:val="4"/>
        </w:numPr>
        <w:spacing w:before="200" w:after="200" w:line="560" w:lineRule="exact"/>
        <w:ind w:left="0" w:firstLine="0"/>
        <w:outlineLvl w:val="1"/>
        <w:rPr>
          <w:rFonts w:ascii="楷体" w:hAnsi="楷体" w:eastAsia="楷体"/>
          <w:b/>
          <w:bCs/>
          <w:kern w:val="0"/>
        </w:rPr>
      </w:pPr>
      <w:r>
        <w:rPr>
          <w:rFonts w:hint="eastAsia" w:ascii="楷体" w:hAnsi="楷体" w:eastAsia="楷体" w:cs="宋体"/>
          <w:b/>
          <w:bCs/>
          <w:kern w:val="0"/>
        </w:rPr>
        <w:t>交付成果</w:t>
      </w:r>
    </w:p>
    <w:p>
      <w:pPr>
        <w:widowControl w:val="0"/>
        <w:spacing w:after="120" w:line="560" w:lineRule="exact"/>
        <w:ind w:firstLine="560" w:firstLineChars="200"/>
        <w:jc w:val="both"/>
        <w:rPr>
          <w:rFonts w:ascii="仿宋" w:hAnsi="仿宋" w:eastAsia="宋体" w:cs="Trebuchet MS"/>
          <w:kern w:val="2"/>
          <w:sz w:val="28"/>
          <w:szCs w:val="30"/>
          <w:lang w:val="en-US" w:eastAsia="zh-CN" w:bidi="ar-SA"/>
        </w:rPr>
      </w:pPr>
      <w:r>
        <w:rPr>
          <w:rFonts w:hint="eastAsia" w:ascii="仿宋" w:hAnsi="仿宋" w:eastAsia="宋体" w:cs="Trebuchet MS"/>
          <w:kern w:val="2"/>
          <w:sz w:val="28"/>
          <w:szCs w:val="30"/>
          <w:lang w:val="en-US" w:eastAsia="zh-CN" w:bidi="ar-SA"/>
        </w:rPr>
        <w:t>包括但不仅限于以下资料：</w:t>
      </w:r>
    </w:p>
    <w:tbl>
      <w:tblPr>
        <w:tblStyle w:val="34"/>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8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99" w:type="dxa"/>
            <w:noWrap/>
            <w:vAlign w:val="center"/>
          </w:tcPr>
          <w:p>
            <w:pPr>
              <w:spacing w:line="560" w:lineRule="exact"/>
              <w:jc w:val="center"/>
              <w:rPr>
                <w:rFonts w:ascii="仿宋" w:hAnsi="仿宋" w:cs="仿宋"/>
                <w:szCs w:val="21"/>
              </w:rPr>
            </w:pPr>
            <w:r>
              <w:rPr>
                <w:rFonts w:hint="eastAsia" w:ascii="仿宋" w:hAnsi="仿宋" w:cs="仿宋"/>
                <w:szCs w:val="21"/>
              </w:rPr>
              <w:t>1</w:t>
            </w:r>
          </w:p>
        </w:tc>
        <w:tc>
          <w:tcPr>
            <w:tcW w:w="8162" w:type="dxa"/>
            <w:noWrap/>
            <w:vAlign w:val="center"/>
          </w:tcPr>
          <w:p>
            <w:pPr>
              <w:spacing w:line="560" w:lineRule="exact"/>
              <w:rPr>
                <w:rFonts w:ascii="仿宋" w:hAnsi="仿宋" w:cs="仿宋"/>
                <w:szCs w:val="21"/>
              </w:rPr>
            </w:pPr>
            <w:r>
              <w:rPr>
                <w:rFonts w:hint="eastAsia" w:ascii="仿宋" w:hAnsi="仿宋" w:cs="Trebuchet MS"/>
                <w:szCs w:val="30"/>
              </w:rPr>
              <w:t>《网络安全等级保护测评报告》（包含整改建议）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99" w:type="dxa"/>
            <w:noWrap/>
            <w:vAlign w:val="center"/>
          </w:tcPr>
          <w:p>
            <w:pPr>
              <w:spacing w:line="560" w:lineRule="exact"/>
              <w:jc w:val="center"/>
              <w:rPr>
                <w:rFonts w:ascii="仿宋" w:hAnsi="仿宋" w:cs="仿宋"/>
                <w:szCs w:val="21"/>
              </w:rPr>
            </w:pPr>
            <w:r>
              <w:rPr>
                <w:rFonts w:hint="eastAsia" w:ascii="仿宋" w:hAnsi="仿宋" w:cs="仿宋"/>
                <w:szCs w:val="21"/>
              </w:rPr>
              <w:t>2</w:t>
            </w:r>
          </w:p>
        </w:tc>
        <w:tc>
          <w:tcPr>
            <w:tcW w:w="8162" w:type="dxa"/>
            <w:noWrap/>
            <w:vAlign w:val="center"/>
          </w:tcPr>
          <w:p>
            <w:pPr>
              <w:spacing w:line="560" w:lineRule="exact"/>
              <w:rPr>
                <w:rFonts w:ascii="仿宋" w:hAnsi="仿宋" w:cs="Trebuchet MS"/>
                <w:szCs w:val="30"/>
              </w:rPr>
            </w:pPr>
            <w:r>
              <w:rPr>
                <w:rFonts w:hint="eastAsia" w:ascii="仿宋" w:hAnsi="仿宋" w:cs="Trebuchet MS"/>
                <w:szCs w:val="30"/>
              </w:rPr>
              <w:t>《网络安全等级保护测评方案》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99" w:type="dxa"/>
            <w:noWrap/>
            <w:vAlign w:val="center"/>
          </w:tcPr>
          <w:p>
            <w:pPr>
              <w:spacing w:line="560" w:lineRule="exact"/>
              <w:jc w:val="center"/>
              <w:rPr>
                <w:rFonts w:ascii="仿宋" w:hAnsi="仿宋" w:cs="仿宋"/>
                <w:szCs w:val="21"/>
              </w:rPr>
            </w:pPr>
            <w:r>
              <w:rPr>
                <w:rFonts w:hint="eastAsia" w:ascii="仿宋" w:hAnsi="仿宋" w:cs="仿宋"/>
                <w:szCs w:val="21"/>
              </w:rPr>
              <w:t>3</w:t>
            </w:r>
          </w:p>
        </w:tc>
        <w:tc>
          <w:tcPr>
            <w:tcW w:w="8162" w:type="dxa"/>
            <w:noWrap/>
            <w:vAlign w:val="center"/>
          </w:tcPr>
          <w:p>
            <w:pPr>
              <w:spacing w:line="560" w:lineRule="exact"/>
              <w:rPr>
                <w:rFonts w:ascii="仿宋" w:hAnsi="仿宋" w:cs="Trebuchet MS"/>
                <w:szCs w:val="30"/>
              </w:rPr>
            </w:pPr>
            <w:r>
              <w:rPr>
                <w:rFonts w:hint="eastAsia" w:ascii="仿宋" w:hAnsi="仿宋" w:cs="Trebuchet MS"/>
                <w:szCs w:val="30"/>
              </w:rPr>
              <w:t>《网络安全系统渗透报告》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899" w:type="dxa"/>
            <w:noWrap/>
            <w:vAlign w:val="center"/>
          </w:tcPr>
          <w:p>
            <w:pPr>
              <w:spacing w:line="560" w:lineRule="exact"/>
              <w:jc w:val="center"/>
              <w:rPr>
                <w:rFonts w:ascii="仿宋" w:hAnsi="仿宋" w:cs="仿宋"/>
                <w:szCs w:val="21"/>
              </w:rPr>
            </w:pPr>
            <w:r>
              <w:rPr>
                <w:rFonts w:ascii="仿宋" w:hAnsi="仿宋" w:cs="仿宋"/>
                <w:szCs w:val="21"/>
              </w:rPr>
              <w:t>4</w:t>
            </w:r>
          </w:p>
        </w:tc>
        <w:tc>
          <w:tcPr>
            <w:tcW w:w="8162" w:type="dxa"/>
            <w:noWrap/>
            <w:vAlign w:val="center"/>
          </w:tcPr>
          <w:p>
            <w:pPr>
              <w:spacing w:line="560" w:lineRule="exact"/>
              <w:rPr>
                <w:rFonts w:ascii="仿宋" w:hAnsi="仿宋" w:cs="仿宋"/>
                <w:szCs w:val="21"/>
              </w:rPr>
            </w:pPr>
            <w:r>
              <w:rPr>
                <w:rFonts w:hint="eastAsia" w:ascii="仿宋" w:hAnsi="仿宋" w:cs="Trebuchet MS"/>
                <w:szCs w:val="30"/>
              </w:rPr>
              <w:t>其他未列入的应交资料</w:t>
            </w:r>
          </w:p>
        </w:tc>
      </w:tr>
    </w:tbl>
    <w:p>
      <w:pPr>
        <w:keepNext/>
        <w:keepLines/>
        <w:numPr>
          <w:ilvl w:val="0"/>
          <w:numId w:val="5"/>
        </w:numPr>
        <w:spacing w:before="200" w:after="200" w:line="560" w:lineRule="exact"/>
        <w:ind w:left="0" w:firstLine="0"/>
        <w:outlineLvl w:val="1"/>
        <w:rPr>
          <w:rFonts w:ascii="楷体" w:hAnsi="楷体" w:eastAsia="楷体"/>
          <w:b/>
          <w:bCs/>
          <w:kern w:val="44"/>
        </w:rPr>
      </w:pPr>
      <w:r>
        <w:rPr>
          <w:rFonts w:hint="eastAsia" w:ascii="楷体" w:hAnsi="楷体" w:eastAsia="楷体"/>
          <w:b/>
          <w:bCs/>
          <w:kern w:val="44"/>
        </w:rPr>
        <w:t>其他要求</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为保障本项目的有序实施和服务质量，服务商需为本项目配置</w:t>
      </w:r>
      <w:r>
        <w:rPr>
          <w:rFonts w:hint="eastAsia" w:ascii="仿宋" w:hAnsi="仿宋" w:cs="Trebuchet MS"/>
          <w:szCs w:val="30"/>
          <w:lang w:val="en-US" w:eastAsia="zh-CN"/>
        </w:rPr>
        <w:t>项目总测评师、</w:t>
      </w:r>
      <w:r>
        <w:rPr>
          <w:rFonts w:hint="eastAsia" w:ascii="仿宋" w:hAnsi="仿宋" w:cs="Trebuchet MS"/>
          <w:szCs w:val="30"/>
        </w:rPr>
        <w:t>项目经理、测评师、渗透测试工程师，具体要求如下：</w:t>
      </w:r>
    </w:p>
    <w:p>
      <w:pPr>
        <w:autoSpaceDE w:val="0"/>
        <w:autoSpaceDN w:val="0"/>
        <w:adjustRightInd w:val="0"/>
        <w:spacing w:line="560" w:lineRule="exact"/>
        <w:ind w:firstLine="420" w:firstLineChars="200"/>
        <w:jc w:val="left"/>
        <w:rPr>
          <w:rFonts w:hint="eastAsia" w:ascii="仿宋" w:hAnsi="仿宋" w:cs="Trebuchet MS"/>
          <w:szCs w:val="30"/>
        </w:rPr>
      </w:pPr>
      <w:r>
        <w:rPr>
          <w:rFonts w:hint="eastAsia" w:ascii="仿宋" w:hAnsi="仿宋" w:cs="Trebuchet MS"/>
          <w:szCs w:val="30"/>
        </w:rPr>
        <w:t>1</w:t>
      </w:r>
      <w:r>
        <w:rPr>
          <w:rFonts w:ascii="仿宋" w:hAnsi="仿宋" w:cs="Trebuchet MS"/>
          <w:szCs w:val="30"/>
        </w:rPr>
        <w:t>.</w:t>
      </w:r>
      <w:r>
        <w:rPr>
          <w:rFonts w:hint="eastAsia"/>
        </w:rPr>
        <w:t xml:space="preserve"> </w:t>
      </w:r>
      <w:r>
        <w:rPr>
          <w:rFonts w:hint="eastAsia" w:ascii="仿宋" w:hAnsi="仿宋" w:cs="Trebuchet MS"/>
          <w:szCs w:val="30"/>
        </w:rPr>
        <w:t>项目经理是本项目的总协调人，负责领导、指挥、协调系统测评实施员开展测评工作，负责项目人员安排，制定项目计划，对整个项目的质量、进度进行把控，负责项目总协调工作。</w:t>
      </w:r>
    </w:p>
    <w:p>
      <w:pPr>
        <w:spacing w:line="560" w:lineRule="exact"/>
        <w:ind w:firstLine="420" w:firstLineChars="200"/>
        <w:rPr>
          <w:rFonts w:hint="eastAsia" w:ascii="仿宋" w:hAnsi="仿宋"/>
          <w:b/>
          <w:bCs/>
          <w:szCs w:val="24"/>
        </w:rPr>
      </w:pPr>
      <w:r>
        <w:rPr>
          <w:rFonts w:hint="eastAsia" w:ascii="仿宋" w:hAnsi="仿宋" w:cs="Trebuchet MS"/>
          <w:szCs w:val="30"/>
        </w:rPr>
        <w:t>2</w:t>
      </w:r>
      <w:r>
        <w:rPr>
          <w:rFonts w:ascii="仿宋" w:hAnsi="仿宋" w:cs="Trebuchet MS"/>
          <w:szCs w:val="30"/>
        </w:rPr>
        <w:t>.</w:t>
      </w:r>
      <w:r>
        <w:rPr>
          <w:rFonts w:hint="eastAsia" w:ascii="仿宋" w:hAnsi="仿宋" w:cs="Trebuchet MS"/>
          <w:szCs w:val="30"/>
        </w:rPr>
        <w:t>实施人员在项目经理的领导下展开具体的系统测评工作。</w:t>
      </w:r>
    </w:p>
    <w:p>
      <w:pPr>
        <w:spacing w:line="560" w:lineRule="exact"/>
        <w:ind w:firstLine="420" w:firstLineChars="200"/>
        <w:rPr>
          <w:rFonts w:hint="eastAsia" w:ascii="仿宋" w:hAnsi="仿宋"/>
          <w:szCs w:val="24"/>
        </w:rPr>
      </w:pPr>
      <w:r>
        <w:rPr>
          <w:rFonts w:hint="eastAsia" w:ascii="仿宋" w:hAnsi="仿宋"/>
          <w:szCs w:val="24"/>
        </w:rPr>
        <w:t>3</w:t>
      </w:r>
      <w:r>
        <w:rPr>
          <w:rFonts w:ascii="仿宋" w:hAnsi="仿宋"/>
          <w:szCs w:val="24"/>
        </w:rPr>
        <w:t>.</w:t>
      </w:r>
      <w:r>
        <w:rPr>
          <w:rFonts w:hint="eastAsia" w:ascii="仿宋" w:hAnsi="仿宋"/>
          <w:szCs w:val="24"/>
        </w:rPr>
        <w:t>此次等级保护测评的服务商其测评人员应具备并符合以下要求：</w:t>
      </w:r>
    </w:p>
    <w:p>
      <w:pPr>
        <w:spacing w:line="560" w:lineRule="exact"/>
        <w:ind w:firstLine="420" w:firstLineChars="200"/>
        <w:rPr>
          <w:rFonts w:hint="eastAsia" w:ascii="仿宋" w:hAnsi="仿宋"/>
          <w:szCs w:val="24"/>
        </w:rPr>
      </w:pPr>
      <w:r>
        <w:rPr>
          <w:rFonts w:hint="eastAsia" w:ascii="仿宋" w:hAnsi="仿宋"/>
          <w:szCs w:val="24"/>
        </w:rPr>
        <w:t>（1）开展此次等级保护测评工作的人员仅限于中华人民共和国境内的中国公民，且无犯罪记录。</w:t>
      </w:r>
    </w:p>
    <w:p>
      <w:pPr>
        <w:spacing w:line="560" w:lineRule="exact"/>
        <w:ind w:firstLine="420" w:firstLineChars="200"/>
        <w:rPr>
          <w:rFonts w:hint="eastAsia" w:ascii="仿宋" w:hAnsi="仿宋"/>
          <w:szCs w:val="24"/>
        </w:rPr>
      </w:pPr>
      <w:r>
        <w:rPr>
          <w:rFonts w:hint="eastAsia" w:ascii="仿宋" w:hAnsi="仿宋"/>
          <w:szCs w:val="24"/>
        </w:rPr>
        <w:t>（2）开展此次等级保护测评工作的人员应由取得等级测评师证书的人员组成。</w:t>
      </w:r>
    </w:p>
    <w:p>
      <w:pPr>
        <w:spacing w:line="560" w:lineRule="exact"/>
        <w:ind w:firstLine="420" w:firstLineChars="200"/>
        <w:rPr>
          <w:rFonts w:hint="eastAsia" w:ascii="仿宋" w:hAnsi="仿宋"/>
          <w:szCs w:val="24"/>
        </w:rPr>
      </w:pPr>
      <w:r>
        <w:rPr>
          <w:rFonts w:hint="eastAsia" w:ascii="仿宋" w:hAnsi="仿宋"/>
          <w:szCs w:val="24"/>
        </w:rPr>
        <w:t>（3）开展此次等级保护测评工作的人员应具备从事信息系统安全测评相关工作</w:t>
      </w:r>
      <w:r>
        <w:rPr>
          <w:rFonts w:hint="eastAsia" w:ascii="仿宋" w:hAnsi="仿宋"/>
          <w:szCs w:val="24"/>
          <w:lang w:val="en-US" w:eastAsia="zh-CN"/>
        </w:rPr>
        <w:t>两</w:t>
      </w:r>
      <w:r>
        <w:rPr>
          <w:rFonts w:hint="eastAsia" w:ascii="仿宋" w:hAnsi="仿宋"/>
          <w:szCs w:val="24"/>
        </w:rPr>
        <w:t>年以上工作经验，开展等级保护测评工作不少于</w:t>
      </w:r>
      <w:r>
        <w:rPr>
          <w:rFonts w:hint="eastAsia" w:ascii="仿宋" w:hAnsi="仿宋"/>
          <w:szCs w:val="24"/>
          <w:lang w:val="en-US" w:eastAsia="zh-CN"/>
        </w:rPr>
        <w:t>一</w:t>
      </w:r>
      <w:r>
        <w:rPr>
          <w:rFonts w:hint="eastAsia" w:ascii="仿宋" w:hAnsi="仿宋"/>
          <w:szCs w:val="24"/>
        </w:rPr>
        <w:t>年，参与同类行业信息安全测评项目。</w:t>
      </w:r>
    </w:p>
    <w:p>
      <w:pPr>
        <w:spacing w:line="560" w:lineRule="exact"/>
        <w:ind w:firstLine="420" w:firstLineChars="200"/>
        <w:rPr>
          <w:rFonts w:ascii="仿宋" w:hAnsi="仿宋"/>
          <w:szCs w:val="24"/>
        </w:rPr>
      </w:pPr>
      <w:r>
        <w:rPr>
          <w:rFonts w:hint="eastAsia" w:ascii="仿宋" w:hAnsi="仿宋"/>
          <w:szCs w:val="24"/>
        </w:rPr>
        <w:t>（4）针对信息安全、信息审计、可信计算、信息安全管理、数据库安全管理、渗透测试等方面技术要求指派的</w:t>
      </w:r>
      <w:r>
        <w:rPr>
          <w:rFonts w:hint="eastAsia" w:ascii="仿宋" w:hAnsi="仿宋"/>
          <w:szCs w:val="24"/>
          <w:lang w:val="en-US" w:eastAsia="zh-CN"/>
        </w:rPr>
        <w:t>项目总测评师、</w:t>
      </w:r>
      <w:r>
        <w:rPr>
          <w:rFonts w:hint="eastAsia" w:ascii="仿宋" w:hAnsi="仿宋"/>
          <w:szCs w:val="24"/>
        </w:rPr>
        <w:t>项目经理、测评师、渗透测试工程师应持有较多相关技术认证证书，如：</w:t>
      </w:r>
    </w:p>
    <w:p>
      <w:pPr>
        <w:spacing w:line="560" w:lineRule="exact"/>
        <w:ind w:firstLine="420" w:firstLineChars="200"/>
        <w:rPr>
          <w:rFonts w:hint="eastAsia" w:ascii="仿宋" w:hAnsi="仿宋"/>
          <w:szCs w:val="24"/>
        </w:rPr>
      </w:pPr>
      <w:r>
        <w:rPr>
          <w:rFonts w:hint="eastAsia" w:ascii="仿宋" w:hAnsi="仿宋"/>
          <w:szCs w:val="24"/>
        </w:rPr>
        <w:t>拟派本项目的项目</w:t>
      </w:r>
      <w:r>
        <w:rPr>
          <w:rFonts w:hint="eastAsia" w:ascii="仿宋" w:hAnsi="仿宋"/>
          <w:szCs w:val="24"/>
          <w:lang w:val="en-US" w:eastAsia="zh-CN"/>
        </w:rPr>
        <w:t>总测评师</w:t>
      </w:r>
      <w:r>
        <w:rPr>
          <w:rFonts w:hint="eastAsia" w:ascii="仿宋" w:hAnsi="仿宋"/>
          <w:szCs w:val="24"/>
        </w:rPr>
        <w:t>：同时具有网络安全等级测评师高级证书</w:t>
      </w:r>
      <w:r>
        <w:rPr>
          <w:rFonts w:hint="eastAsia" w:ascii="仿宋" w:hAnsi="仿宋"/>
          <w:szCs w:val="24"/>
          <w:lang w:eastAsia="zh-CN"/>
        </w:rPr>
        <w:t>、</w:t>
      </w:r>
      <w:r>
        <w:rPr>
          <w:rFonts w:hint="eastAsia" w:ascii="仿宋" w:hAnsi="仿宋"/>
          <w:szCs w:val="24"/>
        </w:rPr>
        <w:t>互联网安全评估师高级证书（CIISA）</w:t>
      </w:r>
      <w:r>
        <w:rPr>
          <w:rFonts w:hint="eastAsia" w:ascii="仿宋" w:hAnsi="仿宋"/>
          <w:szCs w:val="24"/>
          <w:lang w:eastAsia="zh-CN"/>
        </w:rPr>
        <w:t>、个人信息保护合规审计师认证证书（PIPCA）、信息安全保障人员认证证书CISAW（认证方向分别为：安全运维、应急服务）、人社部门颁发的网络安全服务工程师高级职称证书</w:t>
      </w:r>
      <w:r>
        <w:rPr>
          <w:rFonts w:hint="eastAsia" w:ascii="仿宋" w:hAnsi="仿宋"/>
          <w:szCs w:val="24"/>
        </w:rPr>
        <w:t>;</w:t>
      </w:r>
    </w:p>
    <w:p>
      <w:pPr>
        <w:spacing w:line="560" w:lineRule="exact"/>
        <w:ind w:firstLine="420" w:firstLineChars="200"/>
        <w:rPr>
          <w:rFonts w:ascii="仿宋" w:hAnsi="仿宋"/>
          <w:szCs w:val="24"/>
        </w:rPr>
      </w:pPr>
      <w:r>
        <w:rPr>
          <w:rFonts w:hint="eastAsia" w:ascii="仿宋" w:hAnsi="仿宋"/>
          <w:szCs w:val="24"/>
        </w:rPr>
        <w:t>拟派本项目的项目经理：同时具有网络安全等级测评师高级证书</w:t>
      </w:r>
      <w:r>
        <w:rPr>
          <w:rFonts w:hint="eastAsia" w:ascii="仿宋" w:hAnsi="仿宋"/>
          <w:szCs w:val="24"/>
          <w:lang w:eastAsia="zh-CN"/>
        </w:rPr>
        <w:t>、</w:t>
      </w:r>
      <w:r>
        <w:rPr>
          <w:rFonts w:hint="eastAsia" w:ascii="仿宋" w:hAnsi="仿宋"/>
          <w:szCs w:val="24"/>
        </w:rPr>
        <w:t>注册信息安全专业人员证书（CISP）</w:t>
      </w:r>
      <w:r>
        <w:rPr>
          <w:rFonts w:hint="eastAsia" w:ascii="仿宋" w:hAnsi="仿宋"/>
          <w:szCs w:val="24"/>
          <w:lang w:eastAsia="zh-CN"/>
        </w:rPr>
        <w:t>、个人信息保护合规审计师认证证书（PIPCA）、人社部门颁发的网络安全服务工程师高级职称证书、国家信息安全水平证书（一级）</w:t>
      </w:r>
      <w:r>
        <w:rPr>
          <w:rFonts w:hint="eastAsia" w:ascii="仿宋" w:hAnsi="仿宋"/>
          <w:szCs w:val="24"/>
        </w:rPr>
        <w:t>;</w:t>
      </w:r>
    </w:p>
    <w:p>
      <w:pPr>
        <w:spacing w:line="560" w:lineRule="exact"/>
        <w:ind w:firstLine="420" w:firstLineChars="200"/>
        <w:rPr>
          <w:rFonts w:ascii="仿宋" w:hAnsi="仿宋"/>
          <w:szCs w:val="24"/>
        </w:rPr>
      </w:pPr>
      <w:r>
        <w:rPr>
          <w:rFonts w:hint="eastAsia" w:ascii="仿宋" w:hAnsi="仿宋"/>
          <w:szCs w:val="24"/>
        </w:rPr>
        <w:t>拟派本项目的测评师</w:t>
      </w:r>
      <w:r>
        <w:rPr>
          <w:rFonts w:hint="eastAsia" w:ascii="仿宋" w:hAnsi="仿宋"/>
          <w:szCs w:val="24"/>
          <w:lang w:val="en-US" w:eastAsia="zh-CN"/>
        </w:rPr>
        <w:t>团队</w:t>
      </w:r>
      <w:r>
        <w:rPr>
          <w:rFonts w:hint="eastAsia" w:ascii="仿宋" w:hAnsi="仿宋"/>
          <w:szCs w:val="24"/>
        </w:rPr>
        <w:t>：具有个人信息保护专业人员认证证书（PIPP）</w:t>
      </w:r>
      <w:r>
        <w:rPr>
          <w:rFonts w:hint="eastAsia" w:ascii="仿宋" w:hAnsi="仿宋"/>
          <w:szCs w:val="24"/>
          <w:lang w:eastAsia="zh-CN"/>
        </w:rPr>
        <w:t>、国家重要信息系统保护人员证书、注册信息安全员（CISM）证书、注册渗透测试专家（CISP-PTS）</w:t>
      </w:r>
      <w:r>
        <w:rPr>
          <w:rFonts w:hint="eastAsia" w:ascii="仿宋" w:hAnsi="仿宋"/>
          <w:szCs w:val="24"/>
        </w:rPr>
        <w:t>；</w:t>
      </w:r>
    </w:p>
    <w:p>
      <w:pPr>
        <w:spacing w:line="560" w:lineRule="exact"/>
        <w:ind w:firstLine="420" w:firstLineChars="200"/>
        <w:rPr>
          <w:rFonts w:ascii="仿宋" w:hAnsi="仿宋"/>
          <w:szCs w:val="24"/>
        </w:rPr>
      </w:pPr>
      <w:r>
        <w:rPr>
          <w:rFonts w:hint="eastAsia" w:ascii="仿宋" w:hAnsi="仿宋"/>
          <w:szCs w:val="24"/>
        </w:rPr>
        <w:t>拟派本项目的渗透测试工程师：同时具有网络安全等级测评师中级及以上证书</w:t>
      </w:r>
      <w:r>
        <w:rPr>
          <w:rFonts w:hint="eastAsia" w:ascii="仿宋" w:hAnsi="仿宋"/>
          <w:szCs w:val="24"/>
          <w:lang w:eastAsia="zh-CN"/>
        </w:rPr>
        <w:t>、</w:t>
      </w:r>
      <w:r>
        <w:rPr>
          <w:rFonts w:hint="eastAsia" w:ascii="仿宋" w:hAnsi="仿宋"/>
          <w:szCs w:val="24"/>
        </w:rPr>
        <w:t>个人信息保护专业人员认证证书（PIPP）、数据安全评估师（DSA）、注册渗透测评工程师证书（CISP-PTE）；</w:t>
      </w:r>
    </w:p>
    <w:p>
      <w:pPr>
        <w:spacing w:line="560" w:lineRule="exact"/>
        <w:ind w:firstLine="420" w:firstLineChars="200"/>
        <w:rPr>
          <w:rFonts w:hint="eastAsia" w:ascii="仿宋" w:hAnsi="仿宋"/>
          <w:szCs w:val="24"/>
        </w:rPr>
      </w:pPr>
      <w:r>
        <w:rPr>
          <w:rFonts w:hint="eastAsia" w:ascii="仿宋" w:hAnsi="仿宋"/>
          <w:szCs w:val="24"/>
        </w:rPr>
        <w:t>在同等条件下优先选择满足上述人员技术条件较多的测评服务机构。</w:t>
      </w:r>
    </w:p>
    <w:p>
      <w:pPr>
        <w:keepNext/>
        <w:keepLines/>
        <w:numPr>
          <w:ilvl w:val="0"/>
          <w:numId w:val="6"/>
        </w:numPr>
        <w:spacing w:before="200" w:after="200" w:line="560" w:lineRule="exact"/>
        <w:ind w:left="0" w:firstLine="0"/>
        <w:outlineLvl w:val="1"/>
        <w:rPr>
          <w:rFonts w:ascii="楷体" w:hAnsi="楷体" w:eastAsia="楷体"/>
          <w:b/>
          <w:bCs/>
          <w:kern w:val="44"/>
        </w:rPr>
      </w:pPr>
      <w:bookmarkStart w:id="16" w:name="_Toc27248"/>
      <w:r>
        <w:rPr>
          <w:rFonts w:hint="eastAsia" w:ascii="楷体" w:hAnsi="楷体" w:eastAsia="楷体"/>
          <w:b/>
          <w:bCs/>
          <w:kern w:val="44"/>
        </w:rPr>
        <w:t>管理要求</w:t>
      </w:r>
      <w:bookmarkEnd w:id="16"/>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1.服务商必须提供完整的项目管理方案，服务商需要针对以下项目管理要求进行项目管理服务要求进行承诺，未提供项目管理服务承诺为无效服务商。</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2.服务商及其测评人员应当严格执行有关国家信息安全等级保护相关标准和有关规定，提供客观、公平、公正、有效的等级保护测评服务，并承担相应的法律责任；</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3.服务商在对被测评单位开展等级保护测评服务之前需与被测评单位签订保密协议，测评过程中向被测评单位借阅的文档资料应在测评工作结束后全部归还被测评单位，未经被测评单位允许，不得擅自复制、保留；</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4.服务商的岗位配置要至少配置</w:t>
      </w:r>
      <w:r>
        <w:rPr>
          <w:rFonts w:hint="eastAsia" w:ascii="仿宋" w:hAnsi="仿宋" w:cs="Trebuchet MS"/>
          <w:szCs w:val="30"/>
          <w:lang w:val="en-US" w:eastAsia="zh-CN"/>
        </w:rPr>
        <w:t>项目总测评师、</w:t>
      </w:r>
      <w:r>
        <w:rPr>
          <w:rFonts w:hint="eastAsia" w:ascii="仿宋" w:hAnsi="仿宋" w:cs="Trebuchet MS"/>
          <w:szCs w:val="30"/>
        </w:rPr>
        <w:t>项目经理、测评师、渗透测试工程师等并明确各个岗位的相关职责。</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5.侧评工具要求</w:t>
      </w:r>
    </w:p>
    <w:p>
      <w:pPr>
        <w:autoSpaceDE w:val="0"/>
        <w:autoSpaceDN w:val="0"/>
        <w:adjustRightInd w:val="0"/>
        <w:spacing w:line="560" w:lineRule="exact"/>
        <w:ind w:firstLine="420" w:firstLineChars="200"/>
        <w:jc w:val="left"/>
        <w:rPr>
          <w:rFonts w:ascii="仿宋" w:hAnsi="仿宋" w:cs="Trebuchet MS"/>
          <w:szCs w:val="30"/>
        </w:rPr>
      </w:pPr>
      <w:r>
        <w:rPr>
          <w:rFonts w:hint="eastAsia" w:ascii="仿宋" w:hAnsi="仿宋" w:cs="Trebuchet MS"/>
          <w:szCs w:val="30"/>
        </w:rPr>
        <w:t>（1）采用的测评工具必须获得正版授权，并在有效期内，不得使用盗版软件；</w:t>
      </w:r>
    </w:p>
    <w:p>
      <w:pPr>
        <w:spacing w:line="560" w:lineRule="exact"/>
        <w:ind w:firstLine="420" w:firstLineChars="200"/>
        <w:rPr>
          <w:rFonts w:ascii="仿宋" w:hAnsi="仿宋"/>
        </w:rPr>
      </w:pPr>
      <w:r>
        <w:rPr>
          <w:rFonts w:hint="eastAsia" w:ascii="仿宋" w:hAnsi="仿宋"/>
        </w:rPr>
        <w:t>（2）采用的测评工具在功能、性能等满足使用要求前提下，应优先采用具有国内自主知识产权的同类产品；</w:t>
      </w:r>
    </w:p>
    <w:p>
      <w:pPr>
        <w:spacing w:line="560" w:lineRule="exact"/>
        <w:ind w:firstLine="420" w:firstLineChars="200"/>
        <w:rPr>
          <w:rFonts w:ascii="仿宋" w:hAnsi="仿宋"/>
        </w:rPr>
      </w:pPr>
      <w:r>
        <w:rPr>
          <w:rFonts w:hint="eastAsia" w:ascii="仿宋" w:hAnsi="仿宋"/>
        </w:rPr>
        <w:t>（3）采用的测评工具的生产商应为正规厂商，能够对产品进行持续更新并提供质量和安全保障；</w:t>
      </w:r>
    </w:p>
    <w:p>
      <w:pPr>
        <w:spacing w:line="560" w:lineRule="exact"/>
        <w:ind w:firstLine="420" w:firstLineChars="200"/>
        <w:rPr>
          <w:rFonts w:ascii="仿宋" w:hAnsi="仿宋"/>
        </w:rPr>
      </w:pPr>
      <w:r>
        <w:rPr>
          <w:rFonts w:hint="eastAsia" w:ascii="仿宋" w:hAnsi="仿宋"/>
        </w:rPr>
        <w:t>（4）测评机构所使用的测评工具不会对单位系统产生破坏或负面影响。</w:t>
      </w:r>
    </w:p>
    <w:p>
      <w:pPr>
        <w:keepNext/>
        <w:keepLines/>
        <w:numPr>
          <w:ilvl w:val="0"/>
          <w:numId w:val="7"/>
        </w:numPr>
        <w:spacing w:before="200" w:after="200" w:line="560" w:lineRule="exact"/>
        <w:ind w:left="0" w:firstLine="0"/>
        <w:outlineLvl w:val="1"/>
        <w:rPr>
          <w:rFonts w:hint="eastAsia" w:ascii="楷体" w:hAnsi="楷体" w:eastAsia="楷体"/>
          <w:b/>
          <w:bCs/>
          <w:kern w:val="44"/>
        </w:rPr>
      </w:pPr>
      <w:r>
        <w:rPr>
          <w:rFonts w:hint="eastAsia" w:ascii="楷体" w:hAnsi="楷体" w:eastAsia="楷体"/>
          <w:b/>
          <w:bCs/>
          <w:kern w:val="44"/>
        </w:rPr>
        <w:t>商务要求</w:t>
      </w:r>
    </w:p>
    <w:p>
      <w:pPr>
        <w:spacing w:line="560" w:lineRule="exact"/>
        <w:ind w:firstLine="420" w:firstLineChars="200"/>
        <w:rPr>
          <w:rFonts w:hint="eastAsia" w:ascii="仿宋" w:hAnsi="仿宋"/>
          <w:szCs w:val="24"/>
        </w:rPr>
      </w:pPr>
      <w:r>
        <w:rPr>
          <w:rFonts w:hint="eastAsia" w:ascii="仿宋" w:hAnsi="仿宋"/>
          <w:szCs w:val="24"/>
        </w:rPr>
        <w:t>1、服务时间：中标方收到我单位发出的入场通知书之日起60个工作日内。</w:t>
      </w:r>
    </w:p>
    <w:p>
      <w:pPr>
        <w:spacing w:line="560" w:lineRule="exact"/>
        <w:ind w:firstLine="420" w:firstLineChars="200"/>
        <w:rPr>
          <w:rFonts w:hint="eastAsia" w:ascii="仿宋" w:hAnsi="仿宋"/>
          <w:szCs w:val="24"/>
        </w:rPr>
      </w:pPr>
      <w:r>
        <w:rPr>
          <w:rFonts w:hint="eastAsia" w:ascii="仿宋" w:hAnsi="仿宋"/>
          <w:szCs w:val="24"/>
        </w:rPr>
        <w:t>2、服务地点：甲方指定地点。</w:t>
      </w:r>
    </w:p>
    <w:p>
      <w:pPr>
        <w:spacing w:line="560" w:lineRule="exact"/>
        <w:ind w:firstLine="420" w:firstLineChars="200"/>
        <w:rPr>
          <w:rFonts w:hint="eastAsia" w:ascii="仿宋" w:hAnsi="仿宋"/>
          <w:szCs w:val="24"/>
        </w:rPr>
      </w:pPr>
      <w:r>
        <w:rPr>
          <w:rFonts w:hint="eastAsia" w:ascii="仿宋" w:hAnsi="仿宋"/>
          <w:szCs w:val="24"/>
        </w:rPr>
        <w:t>3、进度要求：本项目实施周期为60个工作日内完成系统测评和报告编写工作。</w:t>
      </w:r>
    </w:p>
    <w:p>
      <w:pPr>
        <w:spacing w:line="560" w:lineRule="exact"/>
        <w:ind w:firstLine="420" w:firstLineChars="200"/>
        <w:rPr>
          <w:rFonts w:hint="eastAsia" w:ascii="仿宋" w:hAnsi="仿宋" w:eastAsiaTheme="minorEastAsia" w:cstheme="minorBidi"/>
          <w:kern w:val="2"/>
          <w:sz w:val="21"/>
          <w:szCs w:val="24"/>
          <w:lang w:val="en-US" w:eastAsia="zh-CN" w:bidi="ar-SA"/>
        </w:rPr>
      </w:pPr>
      <w:r>
        <w:rPr>
          <w:rFonts w:hint="eastAsia" w:ascii="仿宋" w:hAnsi="仿宋"/>
          <w:szCs w:val="24"/>
          <w:lang w:val="en-US" w:eastAsia="zh-CN"/>
        </w:rPr>
        <w:t>4、中标人在招标人指定地点完成测评服务，并提出整改建议。</w:t>
      </w:r>
      <w:r>
        <w:rPr>
          <w:rFonts w:hint="eastAsia" w:ascii="仿宋" w:hAnsi="仿宋" w:eastAsiaTheme="minorEastAsia" w:cstheme="minorBidi"/>
          <w:kern w:val="2"/>
          <w:sz w:val="21"/>
          <w:szCs w:val="24"/>
          <w:lang w:val="en-US" w:eastAsia="zh-CN" w:bidi="ar-SA"/>
        </w:rPr>
        <w:t>　</w:t>
      </w: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5130"/>
    <w:multiLevelType w:val="multilevel"/>
    <w:tmpl w:val="1C1E51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DA7EC9"/>
    <w:multiLevelType w:val="singleLevel"/>
    <w:tmpl w:val="28DA7EC9"/>
    <w:lvl w:ilvl="0" w:tentative="0">
      <w:start w:val="5"/>
      <w:numFmt w:val="chineseCountingThousand"/>
      <w:suff w:val="nothing"/>
      <w:lvlText w:val="（%1）"/>
      <w:lvlJc w:val="left"/>
      <w:pPr>
        <w:ind w:left="0" w:firstLine="0"/>
      </w:pPr>
    </w:lvl>
  </w:abstractNum>
  <w:abstractNum w:abstractNumId="2">
    <w:nsid w:val="2BD11B22"/>
    <w:multiLevelType w:val="singleLevel"/>
    <w:tmpl w:val="2BD11B22"/>
    <w:lvl w:ilvl="0" w:tentative="0">
      <w:start w:val="1"/>
      <w:numFmt w:val="chineseCountingThousand"/>
      <w:suff w:val="nothing"/>
      <w:lvlText w:val="（%1）"/>
      <w:lvlJc w:val="left"/>
      <w:pPr>
        <w:ind w:left="0" w:firstLine="0"/>
      </w:pPr>
    </w:lvl>
  </w:abstractNum>
  <w:abstractNum w:abstractNumId="3">
    <w:nsid w:val="39A23C18"/>
    <w:multiLevelType w:val="singleLevel"/>
    <w:tmpl w:val="39A23C18"/>
    <w:lvl w:ilvl="0" w:tentative="0">
      <w:start w:val="3"/>
      <w:numFmt w:val="chineseCountingThousand"/>
      <w:suff w:val="nothing"/>
      <w:lvlText w:val="（%1）"/>
      <w:lvlJc w:val="left"/>
      <w:pPr>
        <w:ind w:left="0" w:firstLine="0"/>
      </w:pPr>
    </w:lvl>
  </w:abstractNum>
  <w:abstractNum w:abstractNumId="4">
    <w:nsid w:val="3AB609CA"/>
    <w:multiLevelType w:val="singleLevel"/>
    <w:tmpl w:val="3AB609CA"/>
    <w:lvl w:ilvl="0" w:tentative="0">
      <w:start w:val="6"/>
      <w:numFmt w:val="chineseCountingThousand"/>
      <w:suff w:val="nothing"/>
      <w:lvlText w:val="（%1）"/>
      <w:lvlJc w:val="left"/>
      <w:pPr>
        <w:ind w:left="0" w:firstLine="0"/>
      </w:pPr>
    </w:lvl>
  </w:abstractNum>
  <w:abstractNum w:abstractNumId="5">
    <w:nsid w:val="484D7C1D"/>
    <w:multiLevelType w:val="singleLevel"/>
    <w:tmpl w:val="484D7C1D"/>
    <w:lvl w:ilvl="0" w:tentative="0">
      <w:start w:val="7"/>
      <w:numFmt w:val="chineseCountingThousand"/>
      <w:suff w:val="nothing"/>
      <w:lvlText w:val="（%1）"/>
      <w:lvlJc w:val="left"/>
      <w:pPr>
        <w:ind w:left="0" w:firstLine="0"/>
      </w:pPr>
    </w:lvl>
  </w:abstractNum>
  <w:abstractNum w:abstractNumId="6">
    <w:nsid w:val="74AA6E22"/>
    <w:multiLevelType w:val="singleLevel"/>
    <w:tmpl w:val="74AA6E22"/>
    <w:lvl w:ilvl="0" w:tentative="0">
      <w:start w:val="4"/>
      <w:numFmt w:val="chineseCountingThousand"/>
      <w:suff w:val="nothing"/>
      <w:lvlText w:val="（%1）"/>
      <w:lvlJc w:val="left"/>
      <w:pPr>
        <w:ind w:left="0" w:firstLine="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134DC4"/>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4A349E"/>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2E31C52"/>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91142C"/>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254800"/>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4A6E8A"/>
    <w:rsid w:val="58511968"/>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42403B"/>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paragraph" w:customStyle="1" w:styleId="116">
    <w:name w:val="标题 5（有编号）（绿盟科技）"/>
    <w:next w:val="1"/>
    <w:qFormat/>
    <w:uiPriority w:val="0"/>
    <w:pPr>
      <w:keepNext/>
      <w:keepLines/>
      <w:widowControl w:val="0"/>
      <w:spacing w:before="280" w:after="156" w:line="376" w:lineRule="auto"/>
      <w:jc w:val="both"/>
      <w:outlineLvl w:val="4"/>
    </w:pPr>
    <w:rPr>
      <w:rFonts w:ascii="Arial" w:hAnsi="Arial" w:eastAsia="黑体" w:cstheme="minorBidi"/>
      <w:b/>
      <w:kern w:val="2"/>
      <w:sz w:val="21"/>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2026-06-22T07:36:38Z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