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color w:val="333333"/>
          <w:sz w:val="32"/>
          <w:szCs w:val="32"/>
          <w:lang w:val="en-US"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职教大脑数据上报管理系统及一表通管理软件”</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27</w:t>
      </w:r>
      <w:bookmarkStart w:id="4" w:name="_GoBack"/>
      <w:bookmarkEnd w:id="4"/>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8"/>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color w:val="333333"/>
                <w:sz w:val="28"/>
                <w:szCs w:val="28"/>
                <w:lang w:eastAsia="zh-CN"/>
              </w:rPr>
              <w:t>职教大脑数据上报管理系统及一表通管理软件</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napToGrid w:val="0"/>
          <w:color w:val="000000"/>
          <w:sz w:val="32"/>
          <w:szCs w:val="32"/>
          <w:lang w:val="en-US" w:eastAsia="zh-CN"/>
        </w:rPr>
      </w:pPr>
      <w:r>
        <w:rPr>
          <w:rFonts w:hint="eastAsia" w:ascii="仿宋" w:hAnsi="仿宋" w:eastAsia="仿宋" w:cs="Times New Roman"/>
          <w:sz w:val="36"/>
          <w:szCs w:val="36"/>
          <w:lang w:val="en-US" w:eastAsia="zh-CN"/>
        </w:rPr>
        <w:t xml:space="preserve">  </w:t>
      </w:r>
      <w:r>
        <w:rPr>
          <w:rFonts w:hint="eastAsia" w:ascii="Times New Roman" w:hAnsi="Times New Roman" w:eastAsia="仿宋_GB2312" w:cs="Times New Roman"/>
          <w:snapToGrid w:val="0"/>
          <w:color w:val="000000"/>
          <w:sz w:val="44"/>
          <w:szCs w:val="44"/>
          <w:lang w:val="en-US" w:eastAsia="zh-CN"/>
        </w:rPr>
        <w:t>职教大脑数据上报管理系统及一表通管理软件-</w:t>
      </w:r>
      <w:bookmarkStart w:id="0" w:name="_Toc21255"/>
      <w:r>
        <w:rPr>
          <w:rFonts w:hint="eastAsia" w:ascii="Times New Roman" w:hAnsi="Times New Roman" w:eastAsia="仿宋_GB2312" w:cs="Times New Roman"/>
          <w:snapToGrid w:val="0"/>
          <w:color w:val="000000"/>
          <w:sz w:val="44"/>
          <w:szCs w:val="44"/>
          <w:lang w:val="en-US" w:eastAsia="zh-CN"/>
        </w:rPr>
        <w:t>技术参数</w:t>
      </w:r>
      <w:bookmarkEnd w:id="0"/>
    </w:p>
    <w:tbl>
      <w:tblPr>
        <w:tblStyle w:val="38"/>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99"/>
        <w:gridCol w:w="951"/>
        <w:gridCol w:w="5658"/>
        <w:gridCol w:w="422"/>
        <w:gridCol w:w="542"/>
        <w:gridCol w:w="646"/>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编号</w:t>
            </w:r>
          </w:p>
        </w:tc>
        <w:tc>
          <w:tcPr>
            <w:tcW w:w="89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系统名称</w:t>
            </w:r>
          </w:p>
        </w:tc>
        <w:tc>
          <w:tcPr>
            <w:tcW w:w="951"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一级子系统</w:t>
            </w:r>
          </w:p>
        </w:tc>
        <w:tc>
          <w:tcPr>
            <w:tcW w:w="5658"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技术参数</w:t>
            </w:r>
          </w:p>
        </w:tc>
        <w:tc>
          <w:tcPr>
            <w:tcW w:w="422"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542" w:type="dxa"/>
            <w:vAlign w:val="center"/>
          </w:tcPr>
          <w:p>
            <w:pPr>
              <w:tabs>
                <w:tab w:val="left" w:pos="254"/>
              </w:tabs>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单价（元）</w:t>
            </w:r>
          </w:p>
        </w:tc>
        <w:tc>
          <w:tcPr>
            <w:tcW w:w="646"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小计（元）</w:t>
            </w:r>
          </w:p>
        </w:tc>
        <w:tc>
          <w:tcPr>
            <w:tcW w:w="418"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w:t>
            </w:r>
          </w:p>
        </w:tc>
        <w:tc>
          <w:tcPr>
            <w:tcW w:w="899"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职教大脑数据上报管理系统</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数据管理</w:t>
            </w:r>
          </w:p>
        </w:tc>
        <w:tc>
          <w:tcPr>
            <w:tcW w:w="5658" w:type="dxa"/>
            <w:vAlign w:val="center"/>
          </w:tcPr>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提供数据导入功能。选择数据表，可以按照该数据表对应的模板上传文件，一键批量导入excel格式的数据。如果还没有模板，可先下载所选数据表的模板再上传。</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一键下载所有数据集的模板的功能。模板已内置好每张数据表的表头，表头做冻结处理，备注好相应的填写规则。对于引用代码的数据项，支持下拉单选相应的代码描述（文字），也支持输入代码值（数字），上报时系统会统一转义为代码值。</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集模型的配置功能，系统已内置好教育部文件中所规定的数据集与数据标准。支持查询、新增、修改、删除数据目录、数据表或数据项，并展示相应记录。支持配置数据表的来源部门、填报人、是否开启数据复核等。支持配置数据项、是否主键、类型、长度、约束等。</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提供代码集模型的配置功能，系统已内置好教育部文件中所规定的代码。支持查询、新增、修改、删除代码，并展示相应记录。支持配置代码集的代码描述与代码值。</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数据质量</w:t>
            </w:r>
          </w:p>
        </w:tc>
        <w:tc>
          <w:tcPr>
            <w:tcW w:w="5658" w:type="dxa"/>
            <w:vAlign w:val="center"/>
          </w:tcPr>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支持通过设置核验规则，检查数据集格式的完整性与准确性，生成核验报告，并自动给各来源部门下发针对异常数据的补录任务。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要求系统运行稳定，在软件运行过程中未发现数据丢失、系统紊乱和致命死机现象。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基础核验和质量核验，基础核验由系统在数据进入平台时自动核验，并给各部门下发异常数据补录任务，质量核验提供影响数据正常成功上报之外的核验，包括数据一致性、数据唯一性、数据完整性的核验。支持手动触发核验，手动核验时可选择特定的数据表与核验规则，核验过程中显示核验进度，核验完毕后出具核验报告，并支持查看与导出异常数据明细。</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数据核验后的整体预警信息。查看预警表数（核验有问题的表数量）、部门数（核验涉及到的业务部门数）、监控表数（总共核验的数据表数量）、问题数（存在问题的数量）、待整改数（未对校验的问题进行修改的数量）。</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支持查看每一张数据表的详细核验报告。包括各类问题数量、已整改数量、待整改数量、问题记录的条数，来源部门与校验时间。支持查看与导出异常数据明细。</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支持查看核验报告的字段详情。选择某数据表，可展开显示所有数据项信息，包括每个数据项具体的问题提示信息，支持在页面上修改数据。</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支持查看核验历史，记录每一次核验操作的核验时间、核验类型、核验规则、核验表数、核验记录数与问题记录数。支持选择时间区间查询核验历史记录。</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支持查看和维护质量检验规则，支持新增规则、删除规则、编辑规则、启用停用规则，支持查看规则的名称、描述、绑定表对象。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支持以SQL语句的方式编辑规则。</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数据采集</w:t>
            </w:r>
          </w:p>
        </w:tc>
        <w:tc>
          <w:tcPr>
            <w:tcW w:w="5658" w:type="dxa"/>
            <w:vAlign w:val="center"/>
          </w:tcPr>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从数据预警核验后的数据流入数据采集模块进行处理。系统会自动将核验的异常数据（标记为红色色块），自动下发给该数据表的负责部门与负责人进行修改补录操作。</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查看所选数据表的数据。选择某数据表，可切换待提交与已提交tab页，并查看相应状态下该表的数据。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异常信息提示。每张数据表中经过质量核验后，系统会用红点在表名后自动标注待处理的异常数据的数量，该数量随着修改实时变化，并置顶表格中所有异常记录，标红所有的异常数据字段。将鼠标移入到数据表中被标红显示的字段，有气泡显示提示信息，告知用户问题类型。支持实时查看补录进度。对于有异常数据的数据表，显示补录进度条，进度条会随着修改操作动态变化。</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支持在线新增单条数据，保存时会做格式校验，未通过不予保存。</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支持批量导入数据，选择某张数据表，可上传excel文件，如果还没有模板，可以先下载模板，再一键导入数据。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支持导出数据。勾选数据，将所选数据导出为excel格式。如果用户未勾选任何记录，则系统默认导出该表当前的所有记录。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支持在每条记录上增加数据来源标记，以第一次进入平台的来源为准，分别对应三种数据采集方式：数据同步、数据导入、数据补录。并且可以针对不同数据来源做数据筛选。</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支持删除与修改单条数据，支持批量删除多条数据。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支持在已提交tab页，撤回还没有被学校审核的数据，修改后可以重新提交。</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若有被部门审核退回或学校审核退回的数据，支持查看审核意见，可以修改后重新提交该数据。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支持根据数据来源，数据状态对表内数据进行筛选和排序。</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提供提交数据操作。勾选记录，点击提交数据，将数据由“待提交”状态转变为“已提交”状态，进入下一环节。如果用户未勾选任何记录，则系统默认勾选该表当前的所有记录。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支持查看提交记录。可查看所选数据表的历史提交记录列表，包括提交数量、操作时间、操作人，并支持查看具体提交的数据记录。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支持同步与查看已提交数据的后续数据状态信息。</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数据审核</w:t>
            </w:r>
          </w:p>
        </w:tc>
        <w:tc>
          <w:tcPr>
            <w:tcW w:w="5658" w:type="dxa"/>
            <w:vAlign w:val="center"/>
          </w:tcPr>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部门审核人审核数据，勾选数据选择通过或退回，通过就将数据流转到下一个环节。勾选记录，点击审核通过，将数据由“待审核”状态转变为“已审核”状态。如果用户未勾选任何记录，则系统默认勾选该表当前的所有记录。退回时要填写审核意见，将数据退回到数据采集模块交给部门采集人员进行修改后重新提交。</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若有被学校审核退回的数据，支持查看审核意见。</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支持新增单条数据，保存时会做格式校验，未通过不予保存。</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支持修改或删除单条数据记录。支持批量删除多条数据记录。</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支持根据数据状态对表内数据进行筛选。</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支持查看审核记录。可查看所选数据表的历史审核记录列表，包括审核数量、操作时间、操作人，并支持查看审核具体的数据记录。</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数据复核</w:t>
            </w:r>
          </w:p>
        </w:tc>
        <w:tc>
          <w:tcPr>
            <w:tcW w:w="5658" w:type="dxa"/>
            <w:vAlign w:val="center"/>
          </w:tcPr>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支持学校复核人员复核数据，勾选数据选择通过或退回，通过就将数据流转到下一个环节。退回时要填写审核意见，将数据退回到数据采集模块交给部门采集人员进行修改后重新提交。</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支持导出数据，勾选数据，将所选数据导出为excel格式。如果用户未勾选任何记录，则系统默认导出该表当前的所有记录。</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支持对数据表进行过滤，默认开启“只显示需复核的数据表”开关，表示过滤显示模型配置中开启数据复核开关的数据表。可点击关闭过滤。</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支持切换到采集数据tab页，查看数据采集模块采集的所有数据。</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支持查看复核记录。可查看所选数据表的历史复核记录列表，包括复核数量、操作时间、操作人，并支持查看复核具体的数据记录。</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上报管理</w:t>
            </w:r>
          </w:p>
        </w:tc>
        <w:tc>
          <w:tcPr>
            <w:tcW w:w="5658" w:type="dxa"/>
            <w:vAlign w:val="center"/>
          </w:tcPr>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将上报表封装成数据接口，提供需要上报的高职98个数据集的API接口读取服务，同时支持多个接口批量上报。</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显示数据表的上报情况，包括数据表名称、推送数量、入库数量、类型、上报频率、上报状态。上报状态分为“待上报”、“上报受理中”、“上报失败”、“上报成功”、“空数据”五种情况。“上报成功”状态表示该表数据已成功上报给教育部。“上报失败”会提示原因。当数据表处于“上报受理中”时，若长时间未反馈可点击刷新重新查询一次，支持上报单个数据表或批量上报多个数据表。</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支持查看某数据表本次上报的具体数据，以及历史上报情况。</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支持通过输入表名、上报时间、上报状态筛选并查看上报信息列表。</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已上报数据进行统计分析，帮助学校直观地查看当前的数据上报情况。支持查看整体上报数据情况：今日上报数据表（当天上报成功的数据表张数）、今日上报数据量（当天上报成功的数据记录条数）、累计上报总次数（所有表加起来上报成功的总次数）、累计上报数据量（所有表加起来上报成功的数据量）。</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列表的形式查看已上报数据表的上报情况，包括首次上报时间、末次上报时间、累计上报次数、已上报数据量、首次上报数据量、累计新增数据量。支持对列表进行数据量或者时间进行排序。支持导出当前列表信息。</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支持查看所有数据表或者所选数据表的上报数据量随时间变化、上报次数随时间变化的折线图。可选择近1周、近1月、近3月、近6月、近1年、自定义六种时间范围。支持以png格式下载当前统计图。</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支持以已成功上报数据与采集数据两种维度进行统计，展示所选全部或某一数据表的来自数据同步、数据导入、数据补录的数据量与所占比例。</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工作进度</w:t>
            </w:r>
          </w:p>
        </w:tc>
        <w:tc>
          <w:tcPr>
            <w:tcW w:w="5658" w:type="dxa"/>
            <w:vAlign w:val="center"/>
          </w:tcPr>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今日任务情况，包括待提交表单、待审核表单、待复核表单的数量及明细，待上报表单、上报成功表单、上报失败表单的数量，支持查看质量检测存在问题数、问题类型数、将逾期表单数及已逾期表单数。支持查看当前数据中心建设情况，数据中心数据可支撑生成职教大脑数据上报平台上报表单的数量和数据中心无法支撑到的表单数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支持查看总体的上报情况包括今日推送表数量、今日推送次数、今日总推送数据量、总推送表数、总推送次数及总推送数据量。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支持查看表单上报数据量近七天变化情况。</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支持查看表单数据各来源情况及占比。</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支持查看任务完成的情况，以日历、月历、年历的方式呈现不同上报表单上报频率的上报表数量及上报数据量。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支持查看上报逾期情况，查看各单位逾期次数及逾期具体表单情况。</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上报详情，可按上报频率查看不同频率表单的最近上报时间、上报数据量、今日上报情况及逾期次数、待提交数据量、待审核数据量、待上报数据量等，支持按照表单责任部门进行筛选查看，支持导出上报详情。</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指标监测大屏</w:t>
            </w:r>
          </w:p>
        </w:tc>
        <w:tc>
          <w:tcPr>
            <w:tcW w:w="5658" w:type="dxa"/>
            <w:vAlign w:val="center"/>
          </w:tcPr>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提供总览、师生发展、教育教学、管理服务、信息化支撑与网络安全五张指标大屏。</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支持查看学校现有师生数指标、进修培训、科研成果、学术讲座、兼职实践、社团活动、党建思政、一卡通、图书借阅、在线事务办理、实验实训、实习就业等维度指标。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支持查看教学今日概况、数字资源、课程建设、专业建设、岗位实习、实验实训、产教融合、教学情况、课证融通、视频巡课等指标。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支持查看本学期师生概况、科研进修、兼职实践、教师考核、综合评价、奖助贷情况、就业情况、教师画像、学生画像、党建思政等指标。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支持查看今日事务情况，包括在线办理事务人次、今日心理咨询人次、今日校园动态条数，支持查看校园动态明细、一站式服务办理分析、获奖情况、科研经费、学生离校、心理咨询、一卡通使用等方面的指标。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支持查看数据集成、网络情况、网络安全、虚拟仿真基地、教学资源访问、信息化系统建设情况、特色信息化系统建设情况、平安校园、绿色校园等指标。</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消息管理</w:t>
            </w:r>
          </w:p>
        </w:tc>
        <w:tc>
          <w:tcPr>
            <w:tcW w:w="5658" w:type="dxa"/>
            <w:vAlign w:val="center"/>
          </w:tcPr>
          <w:p>
            <w:pPr>
              <w:rPr>
                <w:rFonts w:hint="eastAsia" w:ascii="宋体" w:hAnsi="宋体" w:eastAsia="宋体" w:cs="宋体"/>
                <w:sz w:val="21"/>
                <w:szCs w:val="21"/>
              </w:rPr>
            </w:pPr>
            <w:bookmarkStart w:id="1" w:name="OLE_LINK4"/>
            <w:r>
              <w:rPr>
                <w:rFonts w:hint="eastAsia" w:ascii="宋体" w:hAnsi="宋体" w:eastAsia="宋体" w:cs="宋体"/>
                <w:sz w:val="21"/>
                <w:szCs w:val="21"/>
              </w:rPr>
              <w:t>（一）、</w:t>
            </w:r>
            <w:bookmarkEnd w:id="1"/>
            <w:r>
              <w:rPr>
                <w:rFonts w:hint="eastAsia" w:ascii="宋体" w:hAnsi="宋体" w:eastAsia="宋体" w:cs="宋体"/>
                <w:sz w:val="21"/>
                <w:szCs w:val="21"/>
              </w:rPr>
              <w:t>首页</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统计总览：包含统计总览、发送情况分析、渠道发送情况、部门发送情况、应用发送情况、本周小结六个部分，其中：</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统计总览分区展示系统发送总数量、失败数量、待发送数量、应用数量、渠道数量及人数统计情况。</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发送情况分析则是借助可透视画图表展示一年内消息发送数量和失败数量趋势。</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渠道发送情况则是展示不同渠道发送数量占比。</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部门发送和应用发送则是展示不同部门/应用发送数量和失败数量比对结果。</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本周小结则是展示本周内各应用和各渠道发送消息统计情况，可通过本周小结页面的“更多”按钮，直接跳转至消息统计-本周小结页面。</w:t>
            </w:r>
          </w:p>
          <w:p>
            <w:pPr>
              <w:rPr>
                <w:rFonts w:hint="eastAsia" w:ascii="宋体" w:hAnsi="宋体" w:eastAsia="宋体" w:cs="宋体"/>
                <w:sz w:val="21"/>
                <w:szCs w:val="21"/>
              </w:rPr>
            </w:pPr>
            <w:r>
              <w:rPr>
                <w:rFonts w:hint="eastAsia" w:ascii="宋体" w:hAnsi="宋体" w:eastAsia="宋体" w:cs="宋体"/>
                <w:sz w:val="21"/>
                <w:szCs w:val="21"/>
              </w:rPr>
              <w:t>（二）、消息管理</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发件箱支持按状态查询待发送消息、草稿消息、排队中消息、审核中消息。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可查看所有消息，包括：消息发送状态、预发送时间、消息标题、类型等，并支持消息草稿新增、查看、修改、删除、发送、终止发送功能。</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支持多种查询条件，包括：创建日期、文本内容、消息标题、状态等。</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可对消息标题、发送渠道、预发送时间、接收人、消息内容等进行设置，支持多种文本输入，支持回执类消息发送。</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针对企业微信发送渠道，支持文本、图文、文件、图片、文本卡片等多种消息类型，支持邮件抄送及邮件附件功能。</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选择消息接收人时支持联系人编号和名称查询，支持导入Excel发送消息。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已发送消息记录：可查看所有已发送消息的基础信息，包括：消息发送状态、预发送时间、消息标题、类型、异常信息等，并支持查看消息详情和相关日志。</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支持创建日期、预发送时间、消息批次号、消息标题、文本内容、状态、消息类型、消息标签等多条件查询。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查看发送详情：按照已发送消息选定接收账号展开显示每个账号接收状态、发送渠道等发送详情，针对发送失败的账号，可通过日志支持查看异常详情。</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支持发送时间、状态等多条件查询。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支持回执消息回执项统计数据及各消息接收人回执详情。</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可查看常用联系人状态、工号、姓名等基础信息，支持常用联系人添加、删除。</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支持常用联系人工号、姓名查询。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可查看常用联系组状态、群组名称及创建时间，支持常用联系组添加、删除及群组成员查看。</w:t>
            </w:r>
          </w:p>
          <w:p>
            <w:pPr>
              <w:rPr>
                <w:rFonts w:hint="eastAsia" w:ascii="宋体" w:hAnsi="宋体" w:eastAsia="宋体" w:cs="宋体"/>
                <w:sz w:val="21"/>
                <w:szCs w:val="21"/>
              </w:rPr>
            </w:pPr>
            <w:r>
              <w:rPr>
                <w:rFonts w:hint="eastAsia" w:ascii="宋体" w:hAnsi="宋体" w:eastAsia="宋体" w:cs="宋体"/>
                <w:sz w:val="21"/>
                <w:szCs w:val="21"/>
              </w:rPr>
              <w:t>（三）、接入管理</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应用管理：可查看第三方及企业所有应用的基础信息，支持应用新增、设置、重置密钥、应用成员设置及应用删除等。</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支持应用编号、名称查询。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可对新增的应用进行设置，包括基本信息、消息类型、渠道授权、接口授权、渠道升级、应用模板。</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基本信息设置：支持对选定应用的应用名称、应用类型、每月短信限额、有效期限及备注进行管理。</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渠道授权：支持对选定应用下消息发送渠道进行授权，包括：渠道添加、渠道移除。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接口授权：对应用在消息中心平台内的权限进行管理，支持消息类型、应用模板、消息管理、部门管理以及学生和教师管理等权限进行添加及移除。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消息类型管理：提供选定应用下消息类型管理功能，支持消息类型的新增、修改、查看和删除。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提供选定应用下所有消息类型信息，包括：类型编号、类型名称、禁用时段、创建时段等信息。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支持类型编码和类型名称查询。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渠道升级：支持授权渠道升级，渠道升级后，会将部分消息类型的短信优先通过企业微信渠道进行消息发送。</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支持消息类型添加和移除。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支持渠道升级状态的开启和关闭。</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应用模板：提供选定应用下的消息模板管理功能，支持模板新增、修改、删除、查看、启用和停用。</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提供选定应用下所有消息模板信息，包括：模板编号、模板名称、创建时间、状态。</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支持模板名称查询。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支持文本消息模板和富文本消息模板。</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对应用的成员进行设置：支持自定义添加、移除系统已有账号至选定应用。</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支持用户名称查询。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查看应用消息发送记录：支持查看所有应用消息批次或选定某一应用后查看该应用下的消息批次。</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支持消息批次号、消息标题、消息标签、文本内容、状态、消息类型、创建时间等多条件查询。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查看发送详情：支持查看选定批次消息标题、发送渠道、发送人群、消息内容等消息信息及反馈消息。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查看发送日志：按照已发送消息选定接收账号展开显示每个账号接收状态、发送渠道等发送详情，针对发送失败的账号，支持查看异常详情。发送日志支持发送时间、状态等多条件查询。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黑白名单：支持自定义添加和删除黑白名单IP账号，对某些指定ip进行访问限制</w:t>
            </w:r>
          </w:p>
          <w:p>
            <w:pPr>
              <w:rPr>
                <w:rFonts w:hint="eastAsia" w:ascii="宋体" w:hAnsi="宋体" w:eastAsia="宋体" w:cs="宋体"/>
                <w:sz w:val="21"/>
                <w:szCs w:val="21"/>
              </w:rPr>
            </w:pPr>
            <w:r>
              <w:rPr>
                <w:rFonts w:hint="eastAsia" w:ascii="宋体" w:hAnsi="宋体" w:eastAsia="宋体" w:cs="宋体"/>
                <w:sz w:val="21"/>
                <w:szCs w:val="21"/>
              </w:rPr>
              <w:t>（四）、基础信息</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组织机构信息维护：可查看组织内所有下级机构结构及下级机构基础信息，支持组织内机构新增、编辑及删除。</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支持组织名称、组织编码查询。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教职工信息维护：可通过选定机构查看该机构所有教职工的基础信息和联系方式，支持教职工新增、编辑、激活、禁用、导入、导出、删除等操作。</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对新增教职工编号、姓名、身份证、联系方式等基础信息进行设置。</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支持教职工编号、姓名查询。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学生信息维护：可通过选定机构查看该机构所有学生的基础信息、联系方式等基础信息，支持学生新增、编辑、激活、禁用、导入、导出、删除等操作。</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对新增学生学号、姓名、身份证、联系方式等基础信息进行设置。</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支持学生编号、姓名查询。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群组信息维护：可查看群组名称、编号、状态、创建时间等信息，支持群组新增、编辑、启用、禁用、删除和成员管理。</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支持群组名称查询。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群组成员管理：可查看该群组下成员的基础信息，支持从已有教职工、学生账号中自定义添加群组成员，支持群组成员的删除、导入。</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支持群组名称查询。</w:t>
            </w:r>
          </w:p>
          <w:p>
            <w:pPr>
              <w:rPr>
                <w:rFonts w:hint="eastAsia" w:ascii="宋体" w:hAnsi="宋体" w:eastAsia="宋体" w:cs="宋体"/>
                <w:sz w:val="21"/>
                <w:szCs w:val="21"/>
              </w:rPr>
            </w:pPr>
            <w:r>
              <w:rPr>
                <w:rFonts w:hint="eastAsia" w:ascii="宋体" w:hAnsi="宋体" w:eastAsia="宋体" w:cs="宋体"/>
                <w:sz w:val="21"/>
                <w:szCs w:val="21"/>
              </w:rPr>
              <w:t>（五）、渠道管理</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授权渠道管理：可查看所有消息渠道名称、编号、发送频率、是否启用等基础信息，支持渠道新增、修改、启用、禁用、删除、开启审核等操作。</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支持渠道名称查询。</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渠道基础信息维护：支持邮箱、钉钉、企业邮箱、微信公众号、友盟、极光、主流短信平台等多种消息发送渠道，可根据选定消息渠道对渠道参数进行维护。</w:t>
            </w:r>
          </w:p>
          <w:p>
            <w:pPr>
              <w:rPr>
                <w:rFonts w:hint="eastAsia" w:ascii="宋体" w:hAnsi="宋体" w:eastAsia="宋体" w:cs="宋体"/>
                <w:sz w:val="21"/>
                <w:szCs w:val="21"/>
              </w:rPr>
            </w:pPr>
            <w:r>
              <w:rPr>
                <w:rFonts w:hint="eastAsia" w:ascii="宋体" w:hAnsi="宋体" w:eastAsia="宋体" w:cs="宋体"/>
                <w:sz w:val="21"/>
                <w:szCs w:val="21"/>
              </w:rPr>
              <w:t>（六）、消息审核</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支持对消息中心后台发送的消息进行审核。</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支持查看消息的编号、发送人、创建时间、审核员、审核状态等信息。</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支持根据发送人、审核状态、创建时间进行查询。</w:t>
            </w:r>
          </w:p>
          <w:p>
            <w:pPr>
              <w:rPr>
                <w:rFonts w:hint="eastAsia" w:ascii="宋体" w:hAnsi="宋体" w:eastAsia="宋体" w:cs="宋体"/>
                <w:sz w:val="21"/>
                <w:szCs w:val="21"/>
              </w:rPr>
            </w:pPr>
            <w:r>
              <w:rPr>
                <w:rFonts w:hint="eastAsia" w:ascii="宋体" w:hAnsi="宋体" w:eastAsia="宋体" w:cs="宋体"/>
                <w:sz w:val="21"/>
                <w:szCs w:val="21"/>
              </w:rPr>
              <w:t>（七）、消息审计</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支持分别通过消息批次为主体、消息为主体查询历史消息。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查看历史批次消息记录：统计已发送各批次的基础信息，包括：批次号、发送状态、消息标题、消息内容等内容，支持消息详情查看以及接收该批次消息的账号信息及接收状态，支持异常消息的消息查看。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支持创建时间、预发送时间、消息批次号等多条件查询。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查看历史消息记录：分项展示已发送各批次消息中各账号的接收情况，支持消息详情查看。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支持消息批次、接收人、消息标题、发送状态、消息类型等多条件查询。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查看非法消息记录：展示根据安全策略拦截的含敏感字段的非法消息记录，包括：非法消息批次、触发的安全策略、对应的应用名称、消息标题等信息，支持非法消息详情查看。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支持创建时间、策略名称、消息批次号等多条件查询。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查看一周小结消息记录：显示本周小结消息发送记录，可查看本周小结发送渠道、接收人、发送状态等信息，支持查看本周各应用及渠道的统计详情。</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支持发送时间、接收人、渠道等多条件查询。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查看告警消息记录：展示触发监控预警设置的预警规则的告警信息的触发时段、触发条件、预警等级、接收人等信息，支持告警规则查看。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支持告警时间、状态、预警级别等多条件查询。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重发历史批次消息：支持对选定批次的历史消息进行重发；按批次显示历史消息重发进度信息，包括：重发状态、应用名称、消息批次号、消息标题、消息内容、消息标签、来源批次号等信息。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支持选定消息批次详情查看，包括：当前批次消息接收人账号、接收人名称、接收人的接收状态、接收消息内容及发送渠道等信息。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支持创建时间、应用名称、消息类型、消息标题、文本内容等多条件查询。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合并消息记录：支持查看包括消息标题、消息内容、合并消息数等信息，支持按照发送时间、发送状态查询。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重发消息：分以消息为主体和以消息批次为主体对重发消息及重发进度信息进行记录，包括：重发状态、应用名称、消息批次号、接收账号、账号或姓名、消息标题、消息内容、消息标签、来源批次号等信息。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支持创建时间、应用名称、接收人、消息类型、消息标题、文本内容等多条件查询。</w:t>
            </w:r>
          </w:p>
          <w:p>
            <w:pPr>
              <w:rPr>
                <w:rFonts w:hint="eastAsia" w:ascii="宋体" w:hAnsi="宋体" w:eastAsia="宋体" w:cs="宋体"/>
                <w:sz w:val="21"/>
                <w:szCs w:val="21"/>
              </w:rPr>
            </w:pPr>
            <w:r>
              <w:rPr>
                <w:rFonts w:hint="eastAsia" w:ascii="宋体" w:hAnsi="宋体" w:eastAsia="宋体" w:cs="宋体"/>
                <w:sz w:val="21"/>
                <w:szCs w:val="21"/>
              </w:rPr>
              <w:t>（八）、消息统计</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查看发送消息总趋势：多图表展示选定期间范围内每期各渠道消息发送数量变动情况。</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查看消息发送结果统计：多图表展示选定期间范围内各渠道发送数量、失败数量总量。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查看不同渠道消息发送数量占比统计：多图表展示选定期间范围内各渠道发送总量占比。</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查看不同应用消息发送数量占比统计：多图表展示选定期间范围内各应用消息发送数量和发送失败数量。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查看应用渠道发送统计：表格形式展示各应用下各渠道的发送情况，包括发送数量、成功数量、失败数量等信息。支持按照统计日期、渠道名称、应用名称查询。</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查看不同用户消息发送数量统计：多图表展示选定期间、选定渠道下各用户发送总量及发送失败数量。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查看不同部门短信发送数量统计：多图标展示选定期间范围内各部门发送数量、成功数量总量。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一周小结发送记录：显示选定周发送汇总情况，包括消息发送情况统计，分应用列示不同应用的消息发送成功、失败数量占比，分渠道列示不同渠道的消息发送成功、失败数量占比；可对周小结消息接收人进行新增、修改、停用启用及删除设置，也可查看每周周小结消息的发送记录，了解周小结消息发送状态。</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提供本周发出消息总数和实际发送数。</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预置一周小结消息通知模板，支持在设定时间点向选定消息接收人发送上周平台消息发送统计信息。</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接收人信息：设置一周小结发送信息，可对周小结消息接收人、接收渠道及接收时间进行设置。</w:t>
            </w:r>
          </w:p>
          <w:p>
            <w:pPr>
              <w:rPr>
                <w:rFonts w:hint="eastAsia" w:ascii="宋体" w:hAnsi="宋体" w:eastAsia="宋体" w:cs="宋体"/>
                <w:sz w:val="21"/>
                <w:szCs w:val="21"/>
              </w:rPr>
            </w:pPr>
            <w:r>
              <w:rPr>
                <w:rFonts w:hint="eastAsia" w:ascii="宋体" w:hAnsi="宋体" w:eastAsia="宋体" w:cs="宋体"/>
                <w:sz w:val="21"/>
                <w:szCs w:val="21"/>
              </w:rPr>
              <w:t>（九）、规则管理</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后台账号管理：可查看部门内所有账号信息，支持部门账号新增、基础信息修改、启用、禁用、重置密码、分配角色及删除。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对新增账号、名称、密码、邮件地址等基础信息进行设置。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支持用户名、账号、部门查询。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角色管理：可查看系统当前所有角色名称，并支持角色的新增、修改、角色权限、渠道设置及删除操作。</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支持角色名称查询。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权限管理-菜单管理：可查看各模块下的子菜单，支持子菜单的新增、修改和删除。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支持菜单编号和菜单名称查询。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可查看各模块下子菜单对应的功能名称，支持子菜单下功能名称的新增、修改、功能资源授权和删除。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支持功能名称和编号查询。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功能资源授权：可查看当前所有资源，支持资源新增、基础信息修改和删除，支持选定功能点资源匹配及删除。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监控预警规则管理：提供已有监控预警规则的规则名称、创建时间等基础信息，支持预警规则的新增、修改、启用、禁用及删除。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支持查看选定预警规则的所有预警记录及预警详情。</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触发告警规则后，支持按照接收渠道优先级选择消息发送渠道自动发送预警消息。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消息发送失败时，支持按照接收渠道优先级的顺序自动切换接收渠道再次发送消息。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支持预警名称、状态等多条件查询。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监控预警规则信息维护：支持预警名称、规则级别、触发条件、预警接收人、接收渠道及渠道优先级等基础信息进行设置。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安全策略管理：可查看已新增安全策略名称、规则、创建时间等基础信息，支持安全策略新增、规则修改、启用、禁用和删除。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支持策略名称、状态等多条件查询。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消息中心干预规则管理：支持对消息中心发送的单批次消息数量进行干预设置，包括：触发预警阈值、触发干预阈值及干预预警接收人账号、接收渠道等。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支持触发预警阈值、触发干预阈值的编辑、修改、启用和停用。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支持干预通知消息接收人的添加、修改和移除。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查看消息中心干预记录：支持干预通知历史记录查看，包括：触发规则、触发时间及通知数量。</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提供触发干预规则详情，包括：通知内容、接收人、接收渠道、账号、发送时间、接收状态、异常信息等信息。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应用干预规则管理：提供消息中心选定应用的干预规则，包括：应用编号、应用名称、预警规则信息。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支持已有干预规则的新增、修改、删除、启用和停用。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支持已有干预规则通知记录查看。</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支持应用名称和应用编号查询。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应用干预规则信息维护：支持对选定应用进行干预规则设置，包括：触发预警阈值、触发干预阈值及干预预警接收人账号、接收渠道、干预权限等。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支持触发预警阈值、触发干预阈值的编辑、修改、启用和停用。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支持干预通知消息接收人的添加、修改和移除。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查看应用干预记录：支持干预通知历史记录查看，包括：触发规则、触发时间及通知数量。</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提供触发干预规则详情，包括：通知内容、接收人、接收渠道、账号、发送时间、接收状态、异常信息等信息。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查看登录日志：记录登录系统的用户名、设备、IP地址、系统等登录基础信息。支持用户账号、IP地址、时间进行查询。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查看操作日志：记录用户登录系统后的操作记录，包括：用户姓名、操作模块、访问设备、IP地址、浏览器等信息。支持用户账号、IP地址等多条件查询。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平台设置-短信消息长度限制设置。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支持短信类消息长度限制参数设置。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调试消息清除计划设置。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支持自定义平台内所有应用测试数据等清除方式，包括：周期清除及手动清除。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支持统一设置平台内测试数据的保留时间。</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消息禁发时段设置：支持禁用时段及禁用时段内禁止发送消息类型和发送渠道设置。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合并消息规则设置：支持消息合并时间段、阈值及合并消息类型设置。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支持设置多个合并时间段。</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皮肤管理：支持自定义登录页logo、系统logo及系统版权信息等。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调试控制：自定义切换各功能调试状态，启用或禁用。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针对开启调试状态的平台内功能，在测试功能能够正常使用时，支持测试消息直接发送到消息中心。</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应用调试状态设置：自定义切换各应用调试状态，启用或禁用。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支持自定义修改单个应用测试数据保留时间。</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针对开启调试状态的应用，在测试业务系统是否对接成功时，支持测试消息直接发送到消息中心。</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保护名单管理：支持从内部联系人、群组、外部账号3个维度来管理保护名单。</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提供保护名单内具体账号信息，包含：账号类型、账号、标签、说明等，支持保护名单内账号等增删改查。</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支持账号类型、账号、标签等多条件查询。</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highlight w:val="green"/>
              </w:rPr>
            </w:pPr>
            <w:r>
              <w:rPr>
                <w:rFonts w:hint="eastAsia" w:ascii="宋体" w:hAnsi="宋体" w:eastAsia="宋体" w:cs="宋体"/>
                <w:sz w:val="21"/>
                <w:szCs w:val="21"/>
              </w:rPr>
              <w:t>系统管理</w:t>
            </w:r>
          </w:p>
        </w:tc>
        <w:tc>
          <w:tcPr>
            <w:tcW w:w="5658" w:type="dxa"/>
            <w:vAlign w:val="center"/>
          </w:tcPr>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在授权管理页面输入学校账号、密码等信息保存后，即可测试上报并反馈测试结果。</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提供系统设置功能。支持自定义上传系统logo，更改系统名称与页脚信息。</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支持开启大数据量分批提交，降低数据上报速度，以防止ip被封。</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提供操作日志功能。可查询并展示平台访问信息，包括用户名、ip、登录时间、操作次数等。支持查看操作详情，查询并展示每条操作记录的功能模块、操作项、操作详情等信息。</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提供调度策略管理功能。支持查询并展示调度策略，支持新增、修改、（批量）删除调度策略记录，可配置调度表达式与调度状态。</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支持查看系统历次版本迭代内容。</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899" w:type="dxa"/>
            <w:vMerge w:val="restart"/>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一表通数据采集填报</w:t>
            </w:r>
            <w:r>
              <w:rPr>
                <w:rFonts w:hint="eastAsia" w:ascii="宋体" w:hAnsi="宋体" w:eastAsia="宋体" w:cs="宋体"/>
                <w:sz w:val="21"/>
                <w:szCs w:val="21"/>
                <w:lang w:val="en-US" w:eastAsia="zh-CN"/>
              </w:rPr>
              <w:t>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个人工作台服务</w:t>
            </w:r>
          </w:p>
        </w:tc>
        <w:tc>
          <w:tcPr>
            <w:tcW w:w="5658" w:type="dxa"/>
            <w:vAlign w:val="center"/>
          </w:tcPr>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个人工作台功能服务，实现应用和问卷对外发布，以卡片形式展示当前用户有权限访问的应用服务与问卷考试服务，打造用户填报统一入口。同时支持应用和问卷全局检索、按分类筛选查看，以及下钻查看全部个人应用或个人问卷，方便用户快速定位所需服务。​</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在个人工作台提供个人业务办理信息提示服务，清晰展示当前全部待办数量、已办理表单数量、已审核表单数量及抄送我的表单数量，支持用户下钻查看待办明细列表，让用户实时掌握业务办理进度。​</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搭建学习中心服务，整合服务使用手册、操作视频、答疑手册、案例分享等内容，为用户提供全面的学习资源，助力用户快速熟悉系统操作，降低使用门槛。​</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提供最近使用表单显示列表服务，用户可通过该列表快速访问最近办理的业务，减少操作步骤，提升业务办理效率。​</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提供我的收藏列表服务，用户可将常用业务应用收藏，通过收藏列表快速访问，满足用户个性化使用需求。​</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我的应用卡片展示应用名称、创建人、应用简介、应用内容标签，同时提供收藏和分享操作服务。分享功能支持以链接地址和二维码方式分发访问，方便用户将应用分享给其他相关人员，促进业务协同。</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办理中心服务</w:t>
            </w:r>
          </w:p>
        </w:tc>
        <w:tc>
          <w:tcPr>
            <w:tcW w:w="5658" w:type="dxa"/>
            <w:vAlign w:val="center"/>
          </w:tcPr>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办理中心服务为用户呈现待办理表单、已办理表单及抄送给用户的表单情况，实现业务办理信息集中管理，让用户一目了然掌握各类表单动态。​</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我的待办服务，展示当前登录用户需办理的表单（含需填写、需审批表单），待填写表单以列表呈现。支持按表单所属应用分类查看、按表单类型（数据表单、流程表单、协同表单）筛选查看，以及按表单名称关键字查询。同时支持用户对待办表单进行填写、审批操作，对超时未办理表单发起补填申请，确保待办业务及时处理。​</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已填服务展示当前登录用户已办理的表单，按提交后表单状态分页查看。支持按表单所属应用分类查看、按表单类型筛选、按表单名称关键字查询。对于进行中的表单，支持催办、退回待办操作，以及查看已提交表单详情（含办理流程进度），方便用户跟踪已办业务后续情况。​</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已审服务展示当前登录用户已审批的表单，支持按表单类型筛选、按表单名称关键字查询及按表单所属应用分类查看。用户可查看已审批表单填写内容及当前表单流程流转情况，实现审批业务可追溯，便于后续业务核查。​</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抄送我的服务展示当前用户收到的抄送查看表单，按抄送表单当前状态（已查收、未查收）分页展示。支持用户查看表单详情内容，以及按表单名称关键字查询，确保用户及时了解抄送业务信息。</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应用管理服务</w:t>
            </w:r>
          </w:p>
        </w:tc>
        <w:tc>
          <w:tcPr>
            <w:tcW w:w="5658" w:type="dxa"/>
            <w:vAlign w:val="center"/>
          </w:tcPr>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提供业务应用创建服务，涵盖流程配置、业务表单创建、采集任务下发、监控等功能。在应用创建环节，支持用户编辑应用名称、应用图标、应用 logo、管理分类、上架分类、应用简介，满足应用个性化配置需求。​</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业务流程可视化配置服务，支持自定义审批节点，可在每个节点指定审批人，或由上一节点提交时指定下一节点办理人、设定动态审批人。支持单人办理、多人办理模式，以及会签、转办等场景。同时支持表单退回到流程发起节点、上一审批节点、指定节点或按设定条件判断退回节点，退回后可重新提交回退人或重新走流程；支持设置流程自动跳过；提供流程图查看及流转日志查看服务，确保流程透明可控。​</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提供表单自定义配置服务，用户可根据业务需求任意拖拽组件组合表单，支持直接拖拽组件、导入 word 表样和 excel 表样，实现所见即所得，方便业务人员掌握表单配置。支持控制单元格可见、可编辑属性，以及表单取数规则设置，提供文字、数字、单行输入框等常用组件，支持常规组件自定义与按需扩展，组件面板可添加或减少组件。​</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个人信息组件服务支持后台配置直接读取数据库已有数据生成组件，可添加纠错跳转链接。支持设置表单背景图片、表单移动端自适应，提供 PC 端和移动端表单预览服务，以及表单导入导出服务。​</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自增表格支持分页、自动生成序号及多个组件数据联动加载；支持配置手机号码、邮箱、身份证号码等常用数据校验规则，且支持规则自定义。​</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表单服务，作为台账类支持行级提交审批的数据管理表单，支持通过在线创建、线下数据导入、引用数据库方式设计表单。数据表单支持取数读取数据中心主题表初始化生成表单数据，支持按规则排序数据呈现，采集结果可与数据库打通直接回写主题表。​</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多人同时在线协同表单服务，显示当前在线协同人数，支持在线绘表或导入线下表新建，支持自动保存、查看历史记录、按操作版本查看修订记录。支持授权填写或仅授权，可将表单设为公开表单（无需登录即可协同填写），支持以链接方式分享表单，促进多人协同办公。​</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提供报表中心服务，为学校输出各类型统计报表，既支持面向实施人员的复杂报表，也支持面向业务人员的敏捷分析报表。支持基于学校已有数据制作报表，也可直接对一表通采集数据进行简单统计分析，实现 “即采即分析”。​</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统计报表设计服务，支持统计报表新增、编辑、删除、移动、克隆、重命名、授权、上线、下线等操作。复杂报表可自定义样式及布局，支持丰富组件；敏捷看板面向业务人员快速建模，支持表格、指标卡、饼图等几十种常用图表，支持拖拽式自定义布局，可自动识别指标和维度推荐相应图表。​</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应用管理支持按 “我创建的” 和 “授权我的” 分类管理，提供应用新建、删除、编辑、上架、应用授权、表单授权管理、设置推送、设置导航等功能，同时提供应用监控服务，实时掌握应用运行状态。​</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待办发起服务，支持采集待办创建、下发、监控，采集待办分为普通待办和周期性待办。周期性待办可按调度策略定期定时自动创建并下发待办提醒，支持按天、按周、按月、按年循环，一个采集待办可绑定多个采集表单，可指定采集周期。逾期未填写需填报人申请补填，支持设定任务到期提醒，对未上报用户自动催办。​</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单授权服务支持多种授权模式，可授权填表人、数据查看权限，授权对象包括角色、用户、用户组，支持表单字段权限控制及表内数据查看权限精细控制（含查看本人、全部、本部门、子部门、自定义部门数据及按自定义条件查看数据）。​</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授权服务支持将应用授权多位人员协同管理，提供应用权限移交服务。用户移交主管理员权限后，新管理员获得应用权限，原管理员失去权限且无法查看和管理应用，满足学校业务管理员变动时数据管理交接需求。​</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待办下发后，系统自动向待填报用户发送待填写消息，用户可实时掌握进行中任务进度，摆脱线下填报 “黑盒模式”。对进度不理想用户可在线催办或督办，支持对过期任务补填申请记录审核，审核通过后方可填报。​</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提供多层级任务监控服务，应用管理员可监控应用全局完成情况、各单位完成情况及单次下发待办任务完成情况，支持对填表人催办（催办消息可通过企业微信、短信发送）。​</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应用导航设置服务支持按使用习惯设置导航呈现方式（顶部导航、侧边导航、顶部及侧边二级导航），支持修改导航菜单名称，满足用户个性化操作习惯。​</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应用消息推送提醒设置服务支持设置单个应用推送消息类型，推送方式包括即时提醒和汇总提醒，可设置节假日跳过策略，避免节假日消息打扰。</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问卷管理服务</w:t>
            </w:r>
          </w:p>
        </w:tc>
        <w:tc>
          <w:tcPr>
            <w:tcW w:w="5658" w:type="dxa"/>
            <w:vAlign w:val="center"/>
          </w:tcPr>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问卷中心服务，为学校构建校内问卷收集体系，支持快速创建、发布、分发、填报问卷，问卷数据自动汇总并生成分析页面，数据本地化存储保障安全可靠。支持校内、校外不同问卷收集模式，打通学校用户体系实现问卷精准分发，校外用户支持匿名填报、匿名 + 密码填报，同时支持移动端扫码填报，满足多样化问卷收集场景。​</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设计支持拖拽式配置，提供填空题、多选题、单选题等多种题型，支持设置文件名称及说明，题目支持必填、删除、复制、批量编辑选项、添加题目说明等配置，支持题目关联功能。支持个人常用信息配置，填报时可自动读取并进行规则校验，减少重复填报，且个人信息支持扩展，提升问卷设计灵活性与填报效率。​</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支持配置问卷开始截止时间、限制提交份数、填写重复校验、问卷须知、读取前期数据、权限、订阅等信息。支持指定校内用户填报，校外用户支持免登录填报、免登录 + 填报密码模式，支持订阅用户提交问卷消息，且消息可设置免打扰，满足问卷个性化管理需求。​</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问卷支持单次采集和周期性采集，开启周期性采集后，可设定按天、按周、按月、按年的采集周期及每个周期开始、结束时间，系统自动在周期内指定时间下发表单，支持每个周期内多个固定时间下发表单。​</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问卷数据自动统计服务，统计问卷提交情况并自动计算完成比例，针对每道题目自动生成表格、饼状图、柱状图等形式的分析，支持选项填报比例分析、分析数据导出及分享。支持查看问卷收集数据详情，可进行数据查看、删除、清空全部、分享、下载（含附件数据下载）操作，支持自定义选择多个字段查询问卷数据。​</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支持考试场景，考卷设计提供选择题库题目创建及拖拽式配置，导入题库可选择题目或按星级难度随机组题。考卷题目支持单选题、多选题等多种题型，支持设置考试名称及说明，题目可设置分数（含批量设置）、答案解析、删除、复制、添加说明，系统可自动批改考卷并统计结果。同时提供题库维护服务，支持管理员手动输入创建题库，或直接引用问卷管理中已创建的考试，题库可设置题目难度星级、正确答案、答案解析。</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数据管理服务</w:t>
            </w:r>
          </w:p>
        </w:tc>
        <w:tc>
          <w:tcPr>
            <w:tcW w:w="5658" w:type="dxa"/>
            <w:vAlign w:val="center"/>
          </w:tcPr>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提供数据源服务，支持 Oracle、Mysql、Sql Server 三种数据库存储填表数据，同时提供数据源部门管理授权服务，确保数据存储安全且权限分配合理，满足不同部门数据管理需求。​</w:t>
            </w:r>
          </w:p>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提供数据源管理服务，支持 Oracle、Mysql、Sql Server 三种数据源的新增、修改、删除操作，为基于学校已有数据创建统计报表提供稳定数据源支持，保障报表制作数据基础可靠。​</w:t>
            </w:r>
          </w:p>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提供主题集管理服务，支持主题表和维度表的创建、编辑、删除、移动、授权等操作。主题表创建可直接引用数据库表或编写 sql，支持设置字段为指标或维度，支持绑定维度表及创建维度表，为统计报表制作提供数据支撑，提升报表数据组织合理性。​</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权限管理服务</w:t>
            </w:r>
          </w:p>
        </w:tc>
        <w:tc>
          <w:tcPr>
            <w:tcW w:w="5658" w:type="dxa"/>
            <w:vAlign w:val="center"/>
          </w:tcPr>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提供数据展示服务，清晰呈现部门、用户、角色、岗位、用户组总数，并通过条状图、饼状图展示部门数据分布情况，让管理员直观了解权限管理基础数据概况。​</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支持对部门类型进行管理，提供编号、类型名称、级别三种字段快速查询功能，可对已有部门类型进行新增、删除操作，支持修改部门类型信息并手动选择是否启用，保障部门类型管理规范有序。​</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支持对用户类型进行管理，提供编号、类型名称、级别三种字段快速查询，可新增、删除已有用户类型，支持修改用户类型信息并手动选择是否启用，满足用户分类管理需求。​</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机构进行管理，提供机构编号、机构名称两种字段快速查询，可新增、删除已有机构类型，支持修改机构信息，手动选择是否激活机构及是否设为默认状态，对默认状态机构可选择授权范围，确保机构管理合规高效。​</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提供全方位人员标签管理服务，支持新增标签及分类（如添加不同身份或属性标签），支持导入标签用户实现人员与标签批量关联，可按多种条件查询标签，支持启用 / 停用标签状态、编辑修改标签信息及删除无用标签，实现人员分类与权限分配精细化管理。​</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部门信息进行编辑，包括新增、修改、删除、导入、导出，提供部门编号、名称、类型模糊查询，支持编辑部门状态、分配用户（含新增、移除、查询、禁用、启用）、分配角色，保障部门组织架构清晰可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角色进行管理，提供编号、名称、角色类型查询，支持新增、删除、修改角色及分配权限，对权限分配用户提供分配用户、岗位、用户组、部门等操作，支持用户权限范围内细粒度授权，可精细到功能模块权限分配，满足角色权限精准管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支持对岗位进行模糊查询、新增、删除操作，可查看岗位名称、编号、备注、所属应用、机构及操作信息，操作支持修改、删除岗位及分配用户、角色，实现岗位管理规范高效。​</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支持通过用户组名称、所属应用查询用户组，支持新增、删除用户组，可查看用户组名称、编号、所属应用、机构、状态及操作信息，操作支持修改、删除用户组及分配用户、角色，满足用户组集中管理需求。​</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提供用户回收站模块，展示所有已删除用户信息，支持对已删除用户组进行恢复、删除操作，保障用户数据可追溯及系统数据整洁。​</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进行新增、删除、导入、导出、查询（如编号、名称查询），界面展示应用名称、编号、描述、状态及操作信息，操作包括修改、删除应用及分配服务、菜单管理。菜单管理支持查询应用所属服务、编号、名称、权限类型，支持查询、选取应用关联关系，确保应用权限管理全面。​</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支持对应用服务进行新增、删除、导入、导出、查询，可编辑服务名称、编号、镜像地址、状态，操作包括修改、删除服务，保障服务管理规范有序。​</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模块进行新增、删除、查询（如编号、名称、所属服务查询），界面展示模块名称、编号、所属服务、类型及操作信息，操作包括修改、删除模块及功能管理。功能管理支持查询应用所属服务、编号、名称，支持新增、移除应用功能模块并展示功能名称、编号及操作（修改、删除、分配资源），实现权限功能精细化管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支持对服务进行新增、删除、查询（编号 /url/ 请求类型 / 状态查询），界面展示服务编号、请求类型、状态、服务及操作信息，操作包括修改、删除服务及分配权限，确保资源权限分配合理。​</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支持管理员对不同访问用户进行数据统计，提供用户、部门、登录时间、浏览器类型查询功能，支持删除操作，便于管理员掌握用户访问情况，保障系统访问可追溯。​</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提供操作用户详情查看服务，可查看操作用户信息、请求详情及请求返回结果内容，支持按用户、用户类型、部门、请求时间进行操作，实现用户操作行为可监控，便于系统安全管理与问题排查。​</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对接服务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省级平台对接服务</w:t>
            </w:r>
          </w:p>
        </w:tc>
        <w:tc>
          <w:tcPr>
            <w:tcW w:w="5658" w:type="dxa"/>
            <w:vAlign w:val="center"/>
          </w:tcPr>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完成本项目新建职教大脑平台和新建一表通系统与省级职教大脑平台的数据对接服务，实现数据抽取。</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w:t>
            </w:r>
            <w:bookmarkStart w:id="2" w:name="OLE_LINK6"/>
            <w:bookmarkStart w:id="3" w:name="OLE_LINK7"/>
            <w:r>
              <w:rPr>
                <w:rFonts w:hint="eastAsia" w:ascii="宋体" w:hAnsi="宋体" w:eastAsia="宋体" w:cs="宋体"/>
                <w:color w:val="auto"/>
                <w:kern w:val="2"/>
                <w:sz w:val="21"/>
                <w:szCs w:val="21"/>
                <w:lang w:val="en-US" w:eastAsia="zh-CN" w:bidi="ar-SA"/>
              </w:rPr>
              <w:t>≥</w:t>
            </w:r>
            <w:bookmarkEnd w:id="2"/>
            <w:bookmarkEnd w:id="3"/>
            <w:r>
              <w:rPr>
                <w:rFonts w:hint="eastAsia" w:ascii="宋体" w:hAnsi="宋体" w:eastAsia="宋体" w:cs="宋体"/>
                <w:color w:val="auto"/>
                <w:kern w:val="2"/>
                <w:sz w:val="21"/>
                <w:szCs w:val="21"/>
                <w:lang w:val="en-US" w:eastAsia="zh-CN" w:bidi="ar-SA"/>
              </w:rPr>
              <w:t>98张省级上报表的业务系统归属梳理工作。</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完成≥98张省级上报表的数据来源的梳理工作。</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完成≥98张省级上报表和学校已建数据中台的对接服务。</w:t>
            </w:r>
          </w:p>
          <w:p>
            <w:pPr>
              <w:widowControl w:val="0"/>
              <w:numPr>
                <w:ilvl w:val="0"/>
                <w:numId w:val="25"/>
              </w:numPr>
              <w:ind w:left="440" w:hanging="440" w:firstLineChars="0"/>
              <w:jc w:val="both"/>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完成≥10张国家和省级高频上报频率数据表的自动上报。</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上报服务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首年</w:t>
            </w:r>
            <w:r>
              <w:rPr>
                <w:rFonts w:hint="eastAsia" w:ascii="宋体" w:hAnsi="宋体" w:eastAsia="宋体" w:cs="宋体"/>
                <w:sz w:val="21"/>
                <w:szCs w:val="21"/>
              </w:rPr>
              <w:t>上报服务</w:t>
            </w:r>
          </w:p>
        </w:tc>
        <w:tc>
          <w:tcPr>
            <w:tcW w:w="5658" w:type="dxa"/>
            <w:vAlign w:val="center"/>
          </w:tcPr>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指导并辅助学校完成首年春、秋两次国家教育部职教大脑上报工作。</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指导并辅助学校完成首年两次四川省教育厅职教数据上报平台的数据上报工作。</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协助业务部门完成数据上报校验审核服务。</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协助无业务系统部门完成数据手动上报服务。</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驻场服务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驻场运维服务</w:t>
            </w:r>
          </w:p>
        </w:tc>
        <w:tc>
          <w:tcPr>
            <w:tcW w:w="5658" w:type="dxa"/>
            <w:vAlign w:val="center"/>
          </w:tcPr>
          <w:p>
            <w:pPr>
              <w:widowControl w:val="0"/>
              <w:numPr>
                <w:ilvl w:val="0"/>
                <w:numId w:val="0"/>
              </w:numPr>
              <w:ind w:left="440" w:leftChars="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1.提供6×10的校内驻场服务，处理本次项目新建系统的日常运行和维护保障服务。</w:t>
            </w:r>
          </w:p>
          <w:p>
            <w:pPr>
              <w:widowControl w:val="0"/>
              <w:numPr>
                <w:ilvl w:val="0"/>
                <w:numId w:val="0"/>
              </w:numPr>
              <w:ind w:left="440" w:leftChars="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2.服务人员配置及期限：不低于中级工程师级别的≥1人，期限自项目验收合格后≥1年。</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rPr>
            </w:pPr>
          </w:p>
        </w:tc>
        <w:tc>
          <w:tcPr>
            <w:tcW w:w="9536" w:type="dxa"/>
            <w:gridSpan w:val="7"/>
            <w:vAlign w:val="center"/>
          </w:tcPr>
          <w:p>
            <w:pPr>
              <w:jc w:val="both"/>
              <w:rPr>
                <w:rFonts w:hint="default"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合计:小写：       元、大写：                  元</w:t>
            </w:r>
          </w:p>
        </w:tc>
      </w:tr>
    </w:tbl>
    <w:p>
      <w:pPr>
        <w:pageBreakBefore w:val="0"/>
        <w:widowControl w:val="0"/>
        <w:kinsoku/>
        <w:wordWrap/>
        <w:overflowPunct/>
        <w:topLinePunct w:val="0"/>
        <w:autoSpaceDE/>
        <w:autoSpaceDN/>
        <w:bidi w:val="0"/>
        <w:spacing w:line="560" w:lineRule="exact"/>
        <w:rPr>
          <w:rFonts w:hint="eastAsia" w:ascii="Times New Roman" w:hAnsi="Times New Roman" w:eastAsia="仿宋_GB2312" w:cs="Times New Roman"/>
          <w:sz w:val="32"/>
          <w:szCs w:val="24"/>
          <w:lang w:val="en-US" w:eastAsia="zh-CN"/>
        </w:rPr>
      </w:pPr>
    </w:p>
    <w:p>
      <w:pPr>
        <w:jc w:val="left"/>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Calibri" w:hAnsi="Calibri" w:eastAsia="宋体" w:cs="Times New Roman"/>
          <w:sz w:val="32"/>
          <w:szCs w:val="32"/>
        </w:rPr>
      </w:pPr>
    </w:p>
    <w:p>
      <w:pPr>
        <w:widowControl w:val="0"/>
        <w:spacing w:after="120"/>
        <w:jc w:val="center"/>
        <w:rPr>
          <w:rFonts w:hint="eastAsia" w:ascii="Calibri" w:hAnsi="Calibri" w:eastAsia="宋体" w:cs="Times New Roman"/>
          <w:kern w:val="2"/>
          <w:sz w:val="32"/>
          <w:szCs w:val="32"/>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DAF66"/>
    <w:multiLevelType w:val="multilevel"/>
    <w:tmpl w:val="938DAF66"/>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B796C375"/>
    <w:multiLevelType w:val="multilevel"/>
    <w:tmpl w:val="B796C37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BBF329F9"/>
    <w:multiLevelType w:val="multilevel"/>
    <w:tmpl w:val="BBF329F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C664AF0D"/>
    <w:multiLevelType w:val="multilevel"/>
    <w:tmpl w:val="C664AF0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CAFE3A6F"/>
    <w:multiLevelType w:val="multilevel"/>
    <w:tmpl w:val="CAFE3A6F"/>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D314B275"/>
    <w:multiLevelType w:val="multilevel"/>
    <w:tmpl w:val="D314B27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D56112E1"/>
    <w:multiLevelType w:val="multilevel"/>
    <w:tmpl w:val="D56112E1"/>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DC5B8C77"/>
    <w:multiLevelType w:val="multilevel"/>
    <w:tmpl w:val="DC5B8C77"/>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F40BE8DF"/>
    <w:multiLevelType w:val="multilevel"/>
    <w:tmpl w:val="F40BE8DF"/>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04D59340"/>
    <w:multiLevelType w:val="multilevel"/>
    <w:tmpl w:val="04D59340"/>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09A4A1D3"/>
    <w:multiLevelType w:val="multilevel"/>
    <w:tmpl w:val="09A4A1D3"/>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1">
    <w:nsid w:val="102D11FB"/>
    <w:multiLevelType w:val="multilevel"/>
    <w:tmpl w:val="102D11FB"/>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104909F9"/>
    <w:multiLevelType w:val="multilevel"/>
    <w:tmpl w:val="104909F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3">
    <w:nsid w:val="1BE76A1C"/>
    <w:multiLevelType w:val="multilevel"/>
    <w:tmpl w:val="1BE76A1C"/>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4">
    <w:nsid w:val="26102BF4"/>
    <w:multiLevelType w:val="multilevel"/>
    <w:tmpl w:val="26102BF4"/>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5">
    <w:nsid w:val="26F07619"/>
    <w:multiLevelType w:val="multilevel"/>
    <w:tmpl w:val="26F0761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6">
    <w:nsid w:val="27162A07"/>
    <w:multiLevelType w:val="multilevel"/>
    <w:tmpl w:val="27162A07"/>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7">
    <w:nsid w:val="29F9EBED"/>
    <w:multiLevelType w:val="multilevel"/>
    <w:tmpl w:val="29F9EBE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8">
    <w:nsid w:val="2A175472"/>
    <w:multiLevelType w:val="multilevel"/>
    <w:tmpl w:val="2A175472"/>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9">
    <w:nsid w:val="2C8E74B8"/>
    <w:multiLevelType w:val="multilevel"/>
    <w:tmpl w:val="2C8E74B8"/>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0">
    <w:nsid w:val="3D3D00F8"/>
    <w:multiLevelType w:val="multilevel"/>
    <w:tmpl w:val="3D3D00F8"/>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1">
    <w:nsid w:val="4E39B4ED"/>
    <w:multiLevelType w:val="multilevel"/>
    <w:tmpl w:val="4E39B4E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2">
    <w:nsid w:val="51DD07DB"/>
    <w:multiLevelType w:val="multilevel"/>
    <w:tmpl w:val="51DD07DB"/>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3">
    <w:nsid w:val="5B1D4BFE"/>
    <w:multiLevelType w:val="multilevel"/>
    <w:tmpl w:val="5B1D4BFE"/>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4">
    <w:nsid w:val="6B7F9925"/>
    <w:multiLevelType w:val="multilevel"/>
    <w:tmpl w:val="6B7F992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5">
    <w:nsid w:val="7C7922A4"/>
    <w:multiLevelType w:val="multilevel"/>
    <w:tmpl w:val="7C7922A4"/>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16"/>
  </w:num>
  <w:num w:numId="2">
    <w:abstractNumId w:val="5"/>
  </w:num>
  <w:num w:numId="3">
    <w:abstractNumId w:val="21"/>
  </w:num>
  <w:num w:numId="4">
    <w:abstractNumId w:val="22"/>
  </w:num>
  <w:num w:numId="5">
    <w:abstractNumId w:val="24"/>
  </w:num>
  <w:num w:numId="6">
    <w:abstractNumId w:val="9"/>
  </w:num>
  <w:num w:numId="7">
    <w:abstractNumId w:val="10"/>
  </w:num>
  <w:num w:numId="8">
    <w:abstractNumId w:val="11"/>
  </w:num>
  <w:num w:numId="9">
    <w:abstractNumId w:val="14"/>
  </w:num>
  <w:num w:numId="10">
    <w:abstractNumId w:val="4"/>
  </w:num>
  <w:num w:numId="11">
    <w:abstractNumId w:val="6"/>
  </w:num>
  <w:num w:numId="12">
    <w:abstractNumId w:val="17"/>
  </w:num>
  <w:num w:numId="13">
    <w:abstractNumId w:val="13"/>
  </w:num>
  <w:num w:numId="14">
    <w:abstractNumId w:val="12"/>
  </w:num>
  <w:num w:numId="15">
    <w:abstractNumId w:val="3"/>
  </w:num>
  <w:num w:numId="16">
    <w:abstractNumId w:val="8"/>
  </w:num>
  <w:num w:numId="17">
    <w:abstractNumId w:val="2"/>
  </w:num>
  <w:num w:numId="18">
    <w:abstractNumId w:val="23"/>
  </w:num>
  <w:num w:numId="19">
    <w:abstractNumId w:val="18"/>
  </w:num>
  <w:num w:numId="20">
    <w:abstractNumId w:val="7"/>
  </w:num>
  <w:num w:numId="21">
    <w:abstractNumId w:val="19"/>
  </w:num>
  <w:num w:numId="22">
    <w:abstractNumId w:val="0"/>
  </w:num>
  <w:num w:numId="23">
    <w:abstractNumId w:val="15"/>
  </w:num>
  <w:num w:numId="24">
    <w:abstractNumId w:val="20"/>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18CC"/>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A27B74"/>
    <w:rsid w:val="07466AC9"/>
    <w:rsid w:val="07B34C14"/>
    <w:rsid w:val="07E5675F"/>
    <w:rsid w:val="080832CD"/>
    <w:rsid w:val="084531A0"/>
    <w:rsid w:val="084A68F4"/>
    <w:rsid w:val="084D532E"/>
    <w:rsid w:val="08BC4608"/>
    <w:rsid w:val="0A854A2B"/>
    <w:rsid w:val="0ABD57CC"/>
    <w:rsid w:val="0AC803AC"/>
    <w:rsid w:val="0ACE764A"/>
    <w:rsid w:val="0AE87F1A"/>
    <w:rsid w:val="0B59604C"/>
    <w:rsid w:val="0B831F9A"/>
    <w:rsid w:val="0C2D1C9E"/>
    <w:rsid w:val="0C6B0B13"/>
    <w:rsid w:val="0C8D7DF3"/>
    <w:rsid w:val="0CAB3131"/>
    <w:rsid w:val="0DF7766E"/>
    <w:rsid w:val="0E182631"/>
    <w:rsid w:val="0E4112D9"/>
    <w:rsid w:val="0E737964"/>
    <w:rsid w:val="0E840851"/>
    <w:rsid w:val="0EBC113D"/>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CB386F"/>
    <w:rsid w:val="170462F8"/>
    <w:rsid w:val="17195864"/>
    <w:rsid w:val="17AE352F"/>
    <w:rsid w:val="18DF3200"/>
    <w:rsid w:val="193910E5"/>
    <w:rsid w:val="195135D8"/>
    <w:rsid w:val="1A7D5684"/>
    <w:rsid w:val="1AC15311"/>
    <w:rsid w:val="1B134EC3"/>
    <w:rsid w:val="1C212295"/>
    <w:rsid w:val="1C2C52C5"/>
    <w:rsid w:val="1CAD5CEA"/>
    <w:rsid w:val="1D113FA4"/>
    <w:rsid w:val="1D5B7B20"/>
    <w:rsid w:val="1E8F3ED4"/>
    <w:rsid w:val="20371A9D"/>
    <w:rsid w:val="20E76CAB"/>
    <w:rsid w:val="21394209"/>
    <w:rsid w:val="21EA0F6E"/>
    <w:rsid w:val="231C7821"/>
    <w:rsid w:val="237B095A"/>
    <w:rsid w:val="241C27E5"/>
    <w:rsid w:val="24DB4A8C"/>
    <w:rsid w:val="25642174"/>
    <w:rsid w:val="259E1B40"/>
    <w:rsid w:val="25A07E30"/>
    <w:rsid w:val="25E87363"/>
    <w:rsid w:val="26D05631"/>
    <w:rsid w:val="26E23F50"/>
    <w:rsid w:val="27D21795"/>
    <w:rsid w:val="27E20B06"/>
    <w:rsid w:val="27FC47B5"/>
    <w:rsid w:val="280D0326"/>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0F6A3B"/>
    <w:rsid w:val="2D2674F0"/>
    <w:rsid w:val="2DEF43FE"/>
    <w:rsid w:val="2E0140E1"/>
    <w:rsid w:val="2E4C334A"/>
    <w:rsid w:val="2E735FF0"/>
    <w:rsid w:val="2F3D4C69"/>
    <w:rsid w:val="2FA53F8A"/>
    <w:rsid w:val="2FD62398"/>
    <w:rsid w:val="30AF4379"/>
    <w:rsid w:val="30F77E7A"/>
    <w:rsid w:val="310A1609"/>
    <w:rsid w:val="313724A3"/>
    <w:rsid w:val="314A2369"/>
    <w:rsid w:val="314F75C7"/>
    <w:rsid w:val="31E71C02"/>
    <w:rsid w:val="31FA4D5D"/>
    <w:rsid w:val="32DD68D2"/>
    <w:rsid w:val="33266B77"/>
    <w:rsid w:val="336E46FF"/>
    <w:rsid w:val="339A2D55"/>
    <w:rsid w:val="33A610DA"/>
    <w:rsid w:val="3407383B"/>
    <w:rsid w:val="352C0B45"/>
    <w:rsid w:val="35946AAA"/>
    <w:rsid w:val="36E11B91"/>
    <w:rsid w:val="36F0387E"/>
    <w:rsid w:val="370F1C04"/>
    <w:rsid w:val="3717002F"/>
    <w:rsid w:val="37344B40"/>
    <w:rsid w:val="376F22B9"/>
    <w:rsid w:val="37762B2D"/>
    <w:rsid w:val="37CC1338"/>
    <w:rsid w:val="383C57A5"/>
    <w:rsid w:val="38AC5308"/>
    <w:rsid w:val="390C744C"/>
    <w:rsid w:val="39F2793E"/>
    <w:rsid w:val="39FA3AED"/>
    <w:rsid w:val="3A486159"/>
    <w:rsid w:val="3AAC7696"/>
    <w:rsid w:val="3AE86BAC"/>
    <w:rsid w:val="3B4D6C4F"/>
    <w:rsid w:val="3BEA48CE"/>
    <w:rsid w:val="3C163D89"/>
    <w:rsid w:val="3C7D054E"/>
    <w:rsid w:val="3CFC1165"/>
    <w:rsid w:val="3D015A8B"/>
    <w:rsid w:val="3D334134"/>
    <w:rsid w:val="3D415E88"/>
    <w:rsid w:val="3D756085"/>
    <w:rsid w:val="3EC7577F"/>
    <w:rsid w:val="3F291FD7"/>
    <w:rsid w:val="3F714EB4"/>
    <w:rsid w:val="3FE700DA"/>
    <w:rsid w:val="40024C24"/>
    <w:rsid w:val="400F5387"/>
    <w:rsid w:val="409E6959"/>
    <w:rsid w:val="40A053DF"/>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0C06CE4"/>
    <w:rsid w:val="511D7321"/>
    <w:rsid w:val="52172637"/>
    <w:rsid w:val="521B665C"/>
    <w:rsid w:val="52DE7538"/>
    <w:rsid w:val="53D6057F"/>
    <w:rsid w:val="541F27F3"/>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2158BD"/>
    <w:rsid w:val="5CC37E03"/>
    <w:rsid w:val="5D3C6E24"/>
    <w:rsid w:val="5D565CCA"/>
    <w:rsid w:val="5DD93569"/>
    <w:rsid w:val="5DDE13DF"/>
    <w:rsid w:val="5DEB0DD3"/>
    <w:rsid w:val="5ED66C02"/>
    <w:rsid w:val="5FBE0A6E"/>
    <w:rsid w:val="5FDF0124"/>
    <w:rsid w:val="60AE143D"/>
    <w:rsid w:val="615A41C7"/>
    <w:rsid w:val="61810A7F"/>
    <w:rsid w:val="61AA1436"/>
    <w:rsid w:val="620E0EBB"/>
    <w:rsid w:val="62E969E6"/>
    <w:rsid w:val="62FA4553"/>
    <w:rsid w:val="630E39E5"/>
    <w:rsid w:val="63320BC6"/>
    <w:rsid w:val="635F6889"/>
    <w:rsid w:val="648A6BD3"/>
    <w:rsid w:val="652B354E"/>
    <w:rsid w:val="65E41CEC"/>
    <w:rsid w:val="65FC1843"/>
    <w:rsid w:val="660F37BD"/>
    <w:rsid w:val="66F44F9A"/>
    <w:rsid w:val="6703567D"/>
    <w:rsid w:val="677F6F32"/>
    <w:rsid w:val="67F93970"/>
    <w:rsid w:val="68242688"/>
    <w:rsid w:val="6873134A"/>
    <w:rsid w:val="68DF31E0"/>
    <w:rsid w:val="68F77EE8"/>
    <w:rsid w:val="6A0D4261"/>
    <w:rsid w:val="6A473E6C"/>
    <w:rsid w:val="6C3A4D28"/>
    <w:rsid w:val="6C476A65"/>
    <w:rsid w:val="6D1143E7"/>
    <w:rsid w:val="6D243D76"/>
    <w:rsid w:val="6EEB6630"/>
    <w:rsid w:val="6F2B6918"/>
    <w:rsid w:val="70A70FB3"/>
    <w:rsid w:val="70EF3BC6"/>
    <w:rsid w:val="70FE0565"/>
    <w:rsid w:val="71065830"/>
    <w:rsid w:val="714025C6"/>
    <w:rsid w:val="717B04E2"/>
    <w:rsid w:val="72451486"/>
    <w:rsid w:val="726A3B6F"/>
    <w:rsid w:val="739326B7"/>
    <w:rsid w:val="739864CD"/>
    <w:rsid w:val="73A1555E"/>
    <w:rsid w:val="73DC7DFF"/>
    <w:rsid w:val="741D5BC1"/>
    <w:rsid w:val="74383190"/>
    <w:rsid w:val="747D4382"/>
    <w:rsid w:val="74EB34EA"/>
    <w:rsid w:val="75170C43"/>
    <w:rsid w:val="751747F8"/>
    <w:rsid w:val="752A0060"/>
    <w:rsid w:val="755161DC"/>
    <w:rsid w:val="75546E5B"/>
    <w:rsid w:val="7594657A"/>
    <w:rsid w:val="75CD41C4"/>
    <w:rsid w:val="777F323F"/>
    <w:rsid w:val="7812333B"/>
    <w:rsid w:val="78AA53A5"/>
    <w:rsid w:val="78B0277B"/>
    <w:rsid w:val="78FD1A99"/>
    <w:rsid w:val="79196E60"/>
    <w:rsid w:val="7ABA1344"/>
    <w:rsid w:val="7AE36DFF"/>
    <w:rsid w:val="7D225AFC"/>
    <w:rsid w:val="7D673CC8"/>
    <w:rsid w:val="7D740341"/>
    <w:rsid w:val="7D7D5D5F"/>
    <w:rsid w:val="7DAC327C"/>
    <w:rsid w:val="7E480EBC"/>
    <w:rsid w:val="7E5B57E5"/>
    <w:rsid w:val="7E83137B"/>
    <w:rsid w:val="7EE82894"/>
    <w:rsid w:val="7F084957"/>
    <w:rsid w:val="7F1D227B"/>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7"/>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8"/>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9"/>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2"/>
    <w:qFormat/>
    <w:uiPriority w:val="0"/>
    <w:pPr>
      <w:widowControl w:val="0"/>
      <w:jc w:val="both"/>
    </w:pPr>
    <w:rPr>
      <w:rFonts w:ascii="Calibri" w:hAnsi="Calibri" w:eastAsia="宋体" w:cs="Times New Roman"/>
      <w:kern w:val="2"/>
      <w:sz w:val="21"/>
      <w:szCs w:val="21"/>
      <w:lang w:val="en-US" w:eastAsia="zh-CN" w:bidi="ar-SA"/>
    </w:rPr>
  </w:style>
  <w:style w:type="paragraph" w:styleId="8">
    <w:name w:val="annotation subject"/>
    <w:basedOn w:val="9"/>
    <w:next w:val="9"/>
    <w:link w:val="94"/>
    <w:unhideWhenUsed/>
    <w:qFormat/>
    <w:uiPriority w:val="99"/>
    <w:rPr>
      <w:rFonts w:asciiTheme="minorHAnsi" w:hAnsiTheme="minorHAnsi" w:eastAsiaTheme="minorEastAsia" w:cstheme="minorBidi"/>
      <w:b/>
      <w:bCs/>
      <w:szCs w:val="22"/>
    </w:rPr>
  </w:style>
  <w:style w:type="paragraph" w:styleId="9">
    <w:name w:val="annotation text"/>
    <w:basedOn w:val="1"/>
    <w:link w:val="80"/>
    <w:qFormat/>
    <w:uiPriority w:val="99"/>
    <w:pPr>
      <w:jc w:val="left"/>
    </w:pPr>
    <w:rPr>
      <w:rFonts w:ascii="Calibri" w:hAnsi="Calibri" w:eastAsia="宋体" w:cs="Calibri"/>
      <w:szCs w:val="21"/>
    </w:rPr>
  </w:style>
  <w:style w:type="paragraph" w:styleId="10">
    <w:name w:val="Body Text First Indent"/>
    <w:basedOn w:val="11"/>
    <w:unhideWhenUsed/>
    <w:qFormat/>
    <w:uiPriority w:val="99"/>
    <w:pPr>
      <w:ind w:firstLine="420" w:firstLineChars="100"/>
    </w:pPr>
  </w:style>
  <w:style w:type="paragraph" w:styleId="11">
    <w:name w:val="Body Text"/>
    <w:basedOn w:val="1"/>
    <w:next w:val="1"/>
    <w:link w:val="81"/>
    <w:unhideWhenUsed/>
    <w:qFormat/>
    <w:uiPriority w:val="99"/>
    <w:pPr>
      <w:spacing w:after="120"/>
    </w:pPr>
    <w:rPr>
      <w:rFonts w:ascii="Times New Roman" w:hAnsi="Times New Roman" w:eastAsia="宋体" w:cs="Times New Roman"/>
      <w:sz w:val="28"/>
      <w:szCs w:val="20"/>
    </w:rPr>
  </w:style>
  <w:style w:type="paragraph" w:styleId="12">
    <w:name w:val="Body Text Indent"/>
    <w:basedOn w:val="1"/>
    <w:link w:val="96"/>
    <w:qFormat/>
    <w:uiPriority w:val="0"/>
    <w:pPr>
      <w:spacing w:after="120"/>
      <w:ind w:left="420" w:leftChars="200"/>
    </w:pPr>
  </w:style>
  <w:style w:type="paragraph" w:styleId="13">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4">
    <w:name w:val="Date"/>
    <w:basedOn w:val="1"/>
    <w:next w:val="1"/>
    <w:link w:val="44"/>
    <w:unhideWhenUsed/>
    <w:qFormat/>
    <w:uiPriority w:val="99"/>
    <w:pPr>
      <w:ind w:left="100" w:leftChars="2500"/>
    </w:pPr>
  </w:style>
  <w:style w:type="paragraph" w:styleId="15">
    <w:name w:val="Balloon Text"/>
    <w:basedOn w:val="1"/>
    <w:link w:val="50"/>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等线" w:hAnsi="等线" w:eastAsia="等线" w:cs="Times New Roman"/>
    </w:rPr>
  </w:style>
  <w:style w:type="paragraph" w:styleId="19">
    <w:name w:val="toc 4"/>
    <w:basedOn w:val="1"/>
    <w:next w:val="1"/>
    <w:unhideWhenUsed/>
    <w:qFormat/>
    <w:uiPriority w:val="39"/>
    <w:pPr>
      <w:ind w:left="1260" w:leftChars="600"/>
    </w:pPr>
    <w:rPr>
      <w:rFonts w:ascii="等线" w:hAnsi="等线" w:eastAsia="等线" w:cs="Times New Roman"/>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Body Text 2"/>
    <w:qFormat/>
    <w:uiPriority w:val="0"/>
    <w:pPr>
      <w:widowControl/>
      <w:jc w:val="center"/>
    </w:pPr>
    <w:rPr>
      <w:rFonts w:ascii="楷体_GB2312" w:hAnsi="Calibri" w:eastAsia="楷体_GB2312" w:cs="Times New Roman"/>
      <w:kern w:val="2"/>
      <w:sz w:val="20"/>
      <w:szCs w:val="22"/>
      <w:lang w:val="en-US" w:eastAsia="zh-CN" w:bidi="ar-SA"/>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kern w:val="0"/>
      <w:sz w:val="32"/>
    </w:rPr>
  </w:style>
  <w:style w:type="character" w:styleId="25">
    <w:name w:val="Strong"/>
    <w:basedOn w:val="24"/>
    <w:qFormat/>
    <w:uiPriority w:val="22"/>
    <w:rPr>
      <w:b/>
      <w:bCs/>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TML Definition"/>
    <w:basedOn w:val="24"/>
    <w:semiHidden/>
    <w:unhideWhenUsed/>
    <w:qFormat/>
    <w:uiPriority w:val="99"/>
    <w:rPr>
      <w:i/>
      <w:iCs/>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u w:val="single"/>
    </w:rPr>
  </w:style>
  <w:style w:type="character" w:styleId="32">
    <w:name w:val="HTML Code"/>
    <w:basedOn w:val="24"/>
    <w:semiHidden/>
    <w:unhideWhenUsed/>
    <w:qFormat/>
    <w:uiPriority w:val="99"/>
    <w:rPr>
      <w:rFonts w:ascii="serif" w:hAnsi="serif" w:eastAsia="serif" w:cs="serif"/>
      <w:sz w:val="21"/>
      <w:szCs w:val="21"/>
    </w:rPr>
  </w:style>
  <w:style w:type="character" w:styleId="33">
    <w:name w:val="annotation reference"/>
    <w:basedOn w:val="24"/>
    <w:unhideWhenUsed/>
    <w:qFormat/>
    <w:uiPriority w:val="99"/>
    <w:rPr>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serif" w:hAnsi="serif" w:eastAsia="serif" w:cs="serif"/>
      <w:sz w:val="21"/>
      <w:szCs w:val="21"/>
    </w:rPr>
  </w:style>
  <w:style w:type="character" w:styleId="36">
    <w:name w:val="HTML Sample"/>
    <w:basedOn w:val="24"/>
    <w:semiHidden/>
    <w:unhideWhenUsed/>
    <w:qFormat/>
    <w:uiPriority w:val="99"/>
    <w:rPr>
      <w:rFonts w:hint="default" w:ascii="serif" w:hAnsi="serif" w:eastAsia="serif" w:cs="serif"/>
      <w:sz w:val="21"/>
      <w:szCs w:val="21"/>
    </w:rPr>
  </w:style>
  <w:style w:type="table" w:styleId="38">
    <w:name w:val="Table Grid"/>
    <w:basedOn w:val="3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首行缩进"/>
    <w:basedOn w:val="1"/>
    <w:qFormat/>
    <w:uiPriority w:val="0"/>
    <w:pPr>
      <w:spacing w:line="360" w:lineRule="auto"/>
      <w:ind w:firstLine="480" w:firstLineChars="200"/>
      <w:jc w:val="left"/>
    </w:pPr>
    <w:rPr>
      <w:rFonts w:ascii="宋体" w:hAnsi="宋体"/>
      <w:sz w:val="24"/>
    </w:rPr>
  </w:style>
  <w:style w:type="character" w:customStyle="1" w:styleId="42">
    <w:name w:val="页眉 Char"/>
    <w:basedOn w:val="24"/>
    <w:link w:val="17"/>
    <w:qFormat/>
    <w:uiPriority w:val="99"/>
    <w:rPr>
      <w:sz w:val="18"/>
      <w:szCs w:val="18"/>
    </w:rPr>
  </w:style>
  <w:style w:type="character" w:customStyle="1" w:styleId="43">
    <w:name w:val="页脚 Char"/>
    <w:basedOn w:val="24"/>
    <w:link w:val="16"/>
    <w:qFormat/>
    <w:uiPriority w:val="99"/>
    <w:rPr>
      <w:sz w:val="18"/>
      <w:szCs w:val="18"/>
    </w:rPr>
  </w:style>
  <w:style w:type="character" w:customStyle="1" w:styleId="44">
    <w:name w:val="日期 Char"/>
    <w:basedOn w:val="24"/>
    <w:link w:val="14"/>
    <w:qFormat/>
    <w:uiPriority w:val="99"/>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表格"/>
    <w:basedOn w:val="1"/>
    <w:next w:val="1"/>
    <w:qFormat/>
    <w:uiPriority w:val="99"/>
    <w:pPr>
      <w:widowControl/>
      <w:jc w:val="center"/>
    </w:pPr>
    <w:rPr>
      <w:rFonts w:ascii="Calibri" w:hAnsi="Calibri" w:eastAsia="宋体" w:cs="黑体"/>
      <w:kern w:val="21"/>
      <w:szCs w:val="24"/>
    </w:rPr>
  </w:style>
  <w:style w:type="paragraph" w:customStyle="1" w:styleId="47">
    <w:name w:val="列出段落1"/>
    <w:basedOn w:val="1"/>
    <w:qFormat/>
    <w:uiPriority w:val="99"/>
    <w:pPr>
      <w:ind w:firstLine="420" w:firstLineChars="200"/>
    </w:pPr>
    <w:rPr>
      <w:rFonts w:ascii="Calibri" w:hAnsi="Calibri" w:eastAsia="宋体" w:cs="黑体"/>
    </w:rPr>
  </w:style>
  <w:style w:type="paragraph" w:customStyle="1" w:styleId="48">
    <w:name w:val="列出段落2"/>
    <w:basedOn w:val="1"/>
    <w:unhideWhenUsed/>
    <w:qFormat/>
    <w:uiPriority w:val="99"/>
    <w:pPr>
      <w:ind w:firstLine="420" w:firstLineChars="200"/>
    </w:p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批注框文本 Char"/>
    <w:basedOn w:val="24"/>
    <w:link w:val="15"/>
    <w:qFormat/>
    <w:uiPriority w:val="99"/>
    <w:rPr>
      <w:sz w:val="18"/>
      <w:szCs w:val="18"/>
    </w:rPr>
  </w:style>
  <w:style w:type="character" w:customStyle="1" w:styleId="51">
    <w:name w:val="标题 1 Char"/>
    <w:basedOn w:val="24"/>
    <w:link w:val="3"/>
    <w:qFormat/>
    <w:uiPriority w:val="9"/>
    <w:rPr>
      <w:rFonts w:ascii="Times New Roman" w:hAnsi="Times New Roman" w:eastAsia="宋体" w:cs="Times New Roman"/>
      <w:b/>
      <w:kern w:val="44"/>
      <w:sz w:val="32"/>
      <w:szCs w:val="20"/>
    </w:rPr>
  </w:style>
  <w:style w:type="paragraph" w:customStyle="1" w:styleId="5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3">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4">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5">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6">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1">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2">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5">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6">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7">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71">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3">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4">
    <w:name w:val="标题 1_0"/>
    <w:basedOn w:val="1"/>
    <w:next w:val="1"/>
    <w:link w:val="7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5">
    <w:name w:val="标题 1 Char_0"/>
    <w:link w:val="74"/>
    <w:qFormat/>
    <w:uiPriority w:val="9"/>
    <w:rPr>
      <w:rFonts w:ascii="Calibri" w:hAnsi="Calibri" w:eastAsia="宋体" w:cs="Times New Roman"/>
      <w:b/>
      <w:bCs/>
      <w:kern w:val="44"/>
      <w:sz w:val="44"/>
      <w:szCs w:val="44"/>
    </w:rPr>
  </w:style>
  <w:style w:type="paragraph" w:styleId="76">
    <w:name w:val="List Paragraph"/>
    <w:basedOn w:val="1"/>
    <w:qFormat/>
    <w:uiPriority w:val="1"/>
    <w:pPr>
      <w:ind w:firstLine="420" w:firstLineChars="200"/>
    </w:pPr>
    <w:rPr>
      <w:rFonts w:ascii="Times New Roman" w:hAnsi="Times New Roman" w:eastAsia="宋体" w:cs="Times New Roman"/>
      <w:szCs w:val="20"/>
    </w:rPr>
  </w:style>
  <w:style w:type="character" w:customStyle="1" w:styleId="77">
    <w:name w:val="标题 2 Char"/>
    <w:basedOn w:val="24"/>
    <w:link w:val="4"/>
    <w:qFormat/>
    <w:uiPriority w:val="0"/>
    <w:rPr>
      <w:rFonts w:ascii="黑体" w:hAnsi="黑体" w:eastAsia="黑体" w:cs="Times New Roman"/>
      <w:sz w:val="32"/>
      <w:szCs w:val="24"/>
    </w:rPr>
  </w:style>
  <w:style w:type="character" w:customStyle="1" w:styleId="78">
    <w:name w:val="标题 3 Char"/>
    <w:basedOn w:val="24"/>
    <w:link w:val="5"/>
    <w:semiHidden/>
    <w:qFormat/>
    <w:uiPriority w:val="9"/>
    <w:rPr>
      <w:rFonts w:ascii="等线" w:hAnsi="等线" w:eastAsia="等线" w:cs="Times New Roman"/>
      <w:b/>
      <w:bCs/>
      <w:sz w:val="32"/>
      <w:szCs w:val="32"/>
    </w:rPr>
  </w:style>
  <w:style w:type="character" w:customStyle="1" w:styleId="79">
    <w:name w:val="标题 4 Char"/>
    <w:basedOn w:val="24"/>
    <w:link w:val="6"/>
    <w:semiHidden/>
    <w:qFormat/>
    <w:uiPriority w:val="9"/>
    <w:rPr>
      <w:rFonts w:ascii="等线 Light" w:hAnsi="等线 Light" w:eastAsia="等线 Light" w:cs="Times New Roman"/>
      <w:b/>
      <w:bCs/>
      <w:sz w:val="28"/>
      <w:szCs w:val="28"/>
    </w:rPr>
  </w:style>
  <w:style w:type="character" w:customStyle="1" w:styleId="80">
    <w:name w:val="批注文字 Char"/>
    <w:basedOn w:val="24"/>
    <w:link w:val="9"/>
    <w:qFormat/>
    <w:uiPriority w:val="99"/>
    <w:rPr>
      <w:rFonts w:ascii="Calibri" w:hAnsi="Calibri" w:eastAsia="宋体" w:cs="Calibri"/>
      <w:szCs w:val="21"/>
    </w:rPr>
  </w:style>
  <w:style w:type="character" w:customStyle="1" w:styleId="81">
    <w:name w:val="正文文本 Char"/>
    <w:basedOn w:val="24"/>
    <w:link w:val="11"/>
    <w:qFormat/>
    <w:uiPriority w:val="99"/>
    <w:rPr>
      <w:rFonts w:ascii="Times New Roman" w:hAnsi="Times New Roman" w:eastAsia="宋体" w:cs="Times New Roman"/>
      <w:sz w:val="28"/>
      <w:szCs w:val="20"/>
    </w:rPr>
  </w:style>
  <w:style w:type="character" w:customStyle="1" w:styleId="82">
    <w:name w:val="正文文本_"/>
    <w:basedOn w:val="24"/>
    <w:link w:val="83"/>
    <w:qFormat/>
    <w:uiPriority w:val="0"/>
    <w:rPr>
      <w:rFonts w:ascii="MingLiU" w:hAnsi="MingLiU" w:eastAsia="MingLiU" w:cs="MingLiU"/>
      <w:spacing w:val="-20"/>
      <w:sz w:val="26"/>
      <w:szCs w:val="26"/>
      <w:shd w:val="clear" w:color="auto" w:fill="FFFFFF"/>
    </w:rPr>
  </w:style>
  <w:style w:type="paragraph" w:customStyle="1" w:styleId="83">
    <w:name w:val="正文文本1"/>
    <w:basedOn w:val="1"/>
    <w:link w:val="82"/>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4">
    <w:name w:val="正文文本 + Segoe UI"/>
    <w:basedOn w:val="82"/>
    <w:qFormat/>
    <w:uiPriority w:val="0"/>
    <w:rPr>
      <w:rFonts w:ascii="Segoe UI" w:hAnsi="Segoe UI" w:eastAsia="Segoe UI" w:cs="Segoe UI"/>
      <w:b/>
      <w:bCs/>
      <w:color w:val="000000"/>
      <w:spacing w:val="-10"/>
      <w:w w:val="100"/>
      <w:position w:val="0"/>
      <w:lang w:val="zh-CN" w:eastAsia="zh-CN" w:bidi="zh-CN"/>
    </w:rPr>
  </w:style>
  <w:style w:type="character" w:customStyle="1" w:styleId="85">
    <w:name w:val="标题 #1_"/>
    <w:basedOn w:val="24"/>
    <w:link w:val="86"/>
    <w:qFormat/>
    <w:uiPriority w:val="0"/>
    <w:rPr>
      <w:rFonts w:ascii="MingLiU" w:hAnsi="MingLiU" w:eastAsia="MingLiU" w:cs="MingLiU"/>
      <w:spacing w:val="-30"/>
      <w:sz w:val="46"/>
      <w:szCs w:val="46"/>
      <w:shd w:val="clear" w:color="auto" w:fill="FFFFFF"/>
    </w:rPr>
  </w:style>
  <w:style w:type="paragraph" w:customStyle="1" w:styleId="86">
    <w:name w:val="标题 #1"/>
    <w:basedOn w:val="1"/>
    <w:link w:val="85"/>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7">
    <w:name w:val="样式1"/>
    <w:basedOn w:val="76"/>
    <w:qFormat/>
    <w:uiPriority w:val="0"/>
    <w:pPr>
      <w:ind w:firstLine="0" w:firstLineChars="0"/>
      <w:jc w:val="left"/>
    </w:pPr>
    <w:rPr>
      <w:rFonts w:ascii="黑体" w:hAnsi="黑体" w:eastAsia="黑体"/>
      <w:b/>
      <w:bCs/>
      <w:sz w:val="32"/>
      <w:szCs w:val="32"/>
    </w:rPr>
  </w:style>
  <w:style w:type="paragraph" w:customStyle="1" w:styleId="88">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9">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90">
    <w:name w:val="样式4"/>
    <w:basedOn w:val="1"/>
    <w:next w:val="1"/>
    <w:qFormat/>
    <w:uiPriority w:val="0"/>
    <w:pPr>
      <w:ind w:firstLine="602"/>
      <w:outlineLvl w:val="2"/>
    </w:pPr>
    <w:rPr>
      <w:rFonts w:ascii="宋体" w:hAnsi="宋体" w:eastAsia="宋体" w:cs="Times New Roman"/>
      <w:bCs/>
      <w:sz w:val="30"/>
      <w:szCs w:val="30"/>
    </w:rPr>
  </w:style>
  <w:style w:type="paragraph" w:customStyle="1" w:styleId="9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NormalCharacter"/>
    <w:qFormat/>
    <w:uiPriority w:val="0"/>
  </w:style>
  <w:style w:type="character" w:customStyle="1" w:styleId="94">
    <w:name w:val="批注主题 Char"/>
    <w:basedOn w:val="80"/>
    <w:link w:val="8"/>
    <w:qFormat/>
    <w:uiPriority w:val="99"/>
    <w:rPr>
      <w:b/>
      <w:bCs/>
    </w:rPr>
  </w:style>
  <w:style w:type="paragraph" w:customStyle="1" w:styleId="95">
    <w:name w:val="正文2"/>
    <w:basedOn w:val="12"/>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6">
    <w:name w:val="正文文本缩进 Char"/>
    <w:basedOn w:val="24"/>
    <w:link w:val="12"/>
    <w:qFormat/>
    <w:uiPriority w:val="0"/>
  </w:style>
  <w:style w:type="paragraph" w:customStyle="1" w:styleId="97">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8">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9">
    <w:name w:val="font11"/>
    <w:basedOn w:val="24"/>
    <w:qFormat/>
    <w:uiPriority w:val="0"/>
    <w:rPr>
      <w:rFonts w:hint="eastAsia" w:ascii="宋体" w:hAnsi="宋体" w:eastAsia="宋体" w:cs="宋体"/>
      <w:color w:val="000000"/>
      <w:sz w:val="28"/>
      <w:szCs w:val="28"/>
      <w:u w:val="none"/>
    </w:rPr>
  </w:style>
  <w:style w:type="character" w:customStyle="1" w:styleId="100">
    <w:name w:val="font21"/>
    <w:basedOn w:val="24"/>
    <w:qFormat/>
    <w:uiPriority w:val="0"/>
    <w:rPr>
      <w:rFonts w:hint="eastAsia" w:ascii="宋体" w:hAnsi="宋体" w:eastAsia="宋体" w:cs="宋体"/>
      <w:color w:val="000000"/>
      <w:sz w:val="28"/>
      <w:szCs w:val="28"/>
      <w:u w:val="none"/>
      <w:vertAlign w:val="superscript"/>
    </w:rPr>
  </w:style>
  <w:style w:type="character" w:customStyle="1" w:styleId="101">
    <w:name w:val="font31"/>
    <w:basedOn w:val="24"/>
    <w:qFormat/>
    <w:uiPriority w:val="0"/>
    <w:rPr>
      <w:rFonts w:hint="eastAsia" w:ascii="宋体" w:hAnsi="宋体" w:eastAsia="宋体" w:cs="宋体"/>
      <w:color w:val="000000"/>
      <w:sz w:val="24"/>
      <w:szCs w:val="24"/>
      <w:u w:val="none"/>
      <w:vertAlign w:val="superscript"/>
    </w:rPr>
  </w:style>
  <w:style w:type="character" w:customStyle="1" w:styleId="102">
    <w:name w:val="font01"/>
    <w:basedOn w:val="24"/>
    <w:qFormat/>
    <w:uiPriority w:val="0"/>
    <w:rPr>
      <w:rFonts w:hint="eastAsia" w:ascii="宋体" w:hAnsi="宋体" w:eastAsia="宋体" w:cs="宋体"/>
      <w:color w:val="000000"/>
      <w:sz w:val="24"/>
      <w:szCs w:val="24"/>
      <w:u w:val="none"/>
      <w:vertAlign w:val="superscript"/>
    </w:rPr>
  </w:style>
  <w:style w:type="character" w:customStyle="1" w:styleId="103">
    <w:name w:val="font41"/>
    <w:basedOn w:val="24"/>
    <w:qFormat/>
    <w:uiPriority w:val="0"/>
    <w:rPr>
      <w:rFonts w:hint="eastAsia" w:ascii="宋体" w:hAnsi="宋体" w:eastAsia="宋体" w:cs="宋体"/>
      <w:color w:val="000000"/>
      <w:sz w:val="24"/>
      <w:szCs w:val="24"/>
      <w:u w:val="none"/>
      <w:vertAlign w:val="superscript"/>
    </w:rPr>
  </w:style>
  <w:style w:type="paragraph" w:customStyle="1" w:styleId="104">
    <w:name w:val="标书正文1"/>
    <w:basedOn w:val="1"/>
    <w:qFormat/>
    <w:uiPriority w:val="0"/>
    <w:pPr>
      <w:spacing w:line="520" w:lineRule="exact"/>
      <w:ind w:firstLine="640" w:firstLineChars="200"/>
    </w:pPr>
    <w:rPr>
      <w:rFonts w:ascii="Times New Roman" w:hAnsi="Times New Roman" w:eastAsia="宋体"/>
    </w:rPr>
  </w:style>
  <w:style w:type="character" w:customStyle="1" w:styleId="105">
    <w:name w:val="form-item-field"/>
    <w:basedOn w:val="24"/>
    <w:qFormat/>
    <w:uiPriority w:val="0"/>
    <w:rPr>
      <w:sz w:val="16"/>
      <w:szCs w:val="16"/>
    </w:rPr>
  </w:style>
  <w:style w:type="character" w:customStyle="1" w:styleId="106">
    <w:name w:val="sort-name-span"/>
    <w:basedOn w:val="24"/>
    <w:qFormat/>
    <w:uiPriority w:val="0"/>
  </w:style>
  <w:style w:type="character" w:customStyle="1" w:styleId="107">
    <w:name w:val="leaf"/>
    <w:basedOn w:val="24"/>
    <w:qFormat/>
    <w:uiPriority w:val="0"/>
  </w:style>
  <w:style w:type="character" w:customStyle="1" w:styleId="108">
    <w:name w:val="root"/>
    <w:basedOn w:val="24"/>
    <w:qFormat/>
    <w:uiPriority w:val="0"/>
  </w:style>
  <w:style w:type="character" w:customStyle="1" w:styleId="109">
    <w:name w:val="category-text"/>
    <w:basedOn w:val="24"/>
    <w:qFormat/>
    <w:uiPriority w:val="0"/>
    <w:rPr>
      <w:b/>
      <w:shd w:val="clear" w:fill="FFFFFF"/>
    </w:rPr>
  </w:style>
  <w:style w:type="character" w:customStyle="1" w:styleId="110">
    <w:name w:val="flow-name-span"/>
    <w:basedOn w:val="24"/>
    <w:qFormat/>
    <w:uiPriority w:val="0"/>
  </w:style>
  <w:style w:type="character" w:customStyle="1" w:styleId="111">
    <w:name w:val="form-textarea-print1"/>
    <w:basedOn w:val="24"/>
    <w:qFormat/>
    <w:uiPriority w:val="0"/>
    <w:rPr>
      <w:rFonts w:ascii="微软雅黑" w:hAnsi="微软雅黑" w:eastAsia="微软雅黑" w:cs="微软雅黑"/>
      <w:sz w:val="14"/>
      <w:szCs w:val="14"/>
    </w:rPr>
  </w:style>
  <w:style w:type="character" w:customStyle="1" w:styleId="112">
    <w:name w:val="font71"/>
    <w:basedOn w:val="24"/>
    <w:qFormat/>
    <w:uiPriority w:val="0"/>
    <w:rPr>
      <w:rFonts w:hint="eastAsia" w:ascii="仿宋" w:hAnsi="仿宋" w:eastAsia="仿宋" w:cs="仿宋"/>
      <w:b/>
      <w:bCs/>
      <w:color w:val="000000"/>
      <w:sz w:val="22"/>
      <w:szCs w:val="22"/>
      <w:u w:val="none"/>
    </w:rPr>
  </w:style>
  <w:style w:type="character" w:customStyle="1" w:styleId="113">
    <w:name w:val="font91"/>
    <w:basedOn w:val="24"/>
    <w:qFormat/>
    <w:uiPriority w:val="0"/>
    <w:rPr>
      <w:rFonts w:hint="eastAsia" w:ascii="仿宋" w:hAnsi="仿宋" w:eastAsia="仿宋" w:cs="仿宋"/>
      <w:color w:val="000000"/>
      <w:sz w:val="24"/>
      <w:szCs w:val="24"/>
      <w:u w:val="none"/>
    </w:rPr>
  </w:style>
  <w:style w:type="character" w:customStyle="1" w:styleId="114">
    <w:name w:val="font112"/>
    <w:basedOn w:val="24"/>
    <w:qFormat/>
    <w:uiPriority w:val="0"/>
    <w:rPr>
      <w:rFonts w:ascii="Arial" w:hAnsi="Arial" w:cs="Arial"/>
      <w:color w:val="000000"/>
      <w:sz w:val="24"/>
      <w:szCs w:val="24"/>
      <w:u w:val="none"/>
    </w:rPr>
  </w:style>
  <w:style w:type="character" w:customStyle="1" w:styleId="115">
    <w:name w:val="font81"/>
    <w:basedOn w:val="24"/>
    <w:qFormat/>
    <w:uiPriority w:val="0"/>
    <w:rPr>
      <w:rFonts w:hint="eastAsia" w:ascii="仿宋" w:hAnsi="仿宋" w:eastAsia="仿宋" w:cs="仿宋"/>
      <w:color w:val="000000"/>
      <w:sz w:val="24"/>
      <w:szCs w:val="24"/>
      <w:u w:val="none"/>
    </w:rPr>
  </w:style>
  <w:style w:type="character" w:customStyle="1" w:styleId="116">
    <w:name w:val="font121"/>
    <w:basedOn w:val="24"/>
    <w:qFormat/>
    <w:uiPriority w:val="0"/>
    <w:rPr>
      <w:rFonts w:hint="default" w:ascii="Arial" w:hAnsi="Arial" w:cs="Arial"/>
      <w:color w:val="000000"/>
      <w:sz w:val="24"/>
      <w:szCs w:val="24"/>
      <w:u w:val="none"/>
    </w:rPr>
  </w:style>
  <w:style w:type="character" w:customStyle="1" w:styleId="117">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8">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9">
    <w:name w:val="font61"/>
    <w:basedOn w:val="24"/>
    <w:qFormat/>
    <w:uiPriority w:val="0"/>
    <w:rPr>
      <w:rFonts w:hint="default" w:ascii="Times New Roman" w:hAnsi="Times New Roman" w:cs="Times New Roman"/>
      <w:b/>
      <w:color w:val="0070C0"/>
      <w:sz w:val="24"/>
      <w:szCs w:val="24"/>
      <w:u w:val="none"/>
    </w:rPr>
  </w:style>
  <w:style w:type="paragraph" w:customStyle="1" w:styleId="120">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2025-11-25T00:57:00Z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