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上网行为管理特征库升级及维保服务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上网行为管理特征库升级及维保服务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备注:报价为包干价，含税费、运输费、安装费、人工费等一切费用。</w:t>
      </w:r>
    </w:p>
    <w:p>
      <w:p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  <w:szCs w:val="32"/>
        </w:rPr>
      </w:pPr>
      <w:r>
        <w:rPr>
          <w:rFonts w:hint="eastAsia" w:ascii="方正小标宋简体" w:hAnsi="等线" w:eastAsia="方正小标宋简体" w:cs="Times New Roman"/>
          <w:sz w:val="44"/>
          <w:szCs w:val="32"/>
        </w:rPr>
        <w:t>上网行为管理特征库升级及维保服务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  <w:lang w:val="en-US" w:eastAsia="zh-CN"/>
        </w:rPr>
        <w:t>我校</w:t>
      </w:r>
      <w:r>
        <w:rPr>
          <w:rFonts w:hint="eastAsia" w:ascii="等线" w:hAnsi="等线" w:eastAsia="仿宋" w:cs="Times New Roman"/>
          <w:sz w:val="32"/>
        </w:rPr>
        <w:t>的上网行为管理设备已采购使用多年，设备主要负责对网络使用人员的上网行为进行统一管理。设备现处于非维保状态，一旦设备出现问题将无法对整体校园网络进行管控。</w:t>
      </w:r>
      <w:r>
        <w:rPr>
          <w:rFonts w:hint="eastAsia" w:ascii="等线" w:hAnsi="等线" w:eastAsia="仿宋" w:cs="Times New Roman"/>
          <w:sz w:val="32"/>
          <w:lang w:val="en-US" w:eastAsia="zh-CN"/>
        </w:rPr>
        <w:t>同时设备的应用识别规则库和URL规则库的更新授权即将过期，不更新的规则库将无法对新型应用进行管控。</w:t>
      </w:r>
      <w:r>
        <w:rPr>
          <w:rFonts w:hint="eastAsia" w:ascii="等线" w:hAnsi="等线" w:eastAsia="仿宋" w:cs="Times New Roman"/>
          <w:sz w:val="32"/>
        </w:rPr>
        <w:t>本次将统一采购上网行为管理设备1年原厂维保服务，1年应用识别规则库</w:t>
      </w:r>
      <w:r>
        <w:rPr>
          <w:rFonts w:hint="eastAsia" w:ascii="等线" w:hAnsi="等线" w:eastAsia="仿宋" w:cs="Times New Roman"/>
          <w:sz w:val="32"/>
          <w:lang w:val="en-US" w:eastAsia="zh-CN"/>
        </w:rPr>
        <w:t>和</w:t>
      </w:r>
      <w:r>
        <w:rPr>
          <w:rFonts w:hint="eastAsia" w:ascii="等线" w:hAnsi="等线" w:eastAsia="仿宋" w:cs="Times New Roman"/>
          <w:sz w:val="32"/>
        </w:rPr>
        <w:t>U</w:t>
      </w:r>
      <w:r>
        <w:rPr>
          <w:rFonts w:ascii="等线" w:hAnsi="等线" w:eastAsia="仿宋" w:cs="Times New Roman"/>
          <w:sz w:val="32"/>
        </w:rPr>
        <w:t>RL</w:t>
      </w:r>
      <w:r>
        <w:rPr>
          <w:rFonts w:hint="eastAsia" w:ascii="等线" w:hAnsi="等线" w:eastAsia="仿宋" w:cs="Times New Roman"/>
          <w:sz w:val="32"/>
        </w:rPr>
        <w:t>规则库升级服务。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一、服务清单</w:t>
      </w:r>
    </w:p>
    <w:tbl>
      <w:tblPr>
        <w:tblStyle w:val="3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3260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产品型号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规格说明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Merge w:val="restart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天融信上网行为管理系统</w:t>
            </w:r>
          </w:p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AC-52638</w:t>
            </w:r>
          </w:p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序列号:Q1909153974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上网行为管理设备</w:t>
            </w:r>
            <w:r>
              <w:rPr>
                <w:rFonts w:ascii="等线" w:hAnsi="等线" w:eastAsia="仿宋" w:cs="Times New Roman"/>
                <w:sz w:val="32"/>
              </w:rPr>
              <w:t>1年原厂维保服务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823" w:type="dxa"/>
            <w:vMerge w:val="continue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等线" w:hAnsi="等线" w:eastAsia="仿宋" w:cs="Times New Roman"/>
                <w:sz w:val="32"/>
                <w:lang w:eastAsia="zh-CN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上网行为管理设备应用识别规则库</w:t>
            </w:r>
            <w:r>
              <w:rPr>
                <w:rFonts w:hint="eastAsia" w:ascii="等线" w:hAnsi="等线" w:eastAsia="仿宋" w:cs="Times New Roman"/>
                <w:sz w:val="32"/>
                <w:lang w:val="en-US" w:eastAsia="zh-CN"/>
              </w:rPr>
              <w:t>和URL规则库</w:t>
            </w:r>
            <w:r>
              <w:rPr>
                <w:rFonts w:hint="eastAsia" w:ascii="等线" w:hAnsi="等线" w:eastAsia="仿宋" w:cs="Times New Roman"/>
                <w:sz w:val="32"/>
              </w:rPr>
              <w:t>1年</w:t>
            </w:r>
            <w:r>
              <w:rPr>
                <w:rFonts w:hint="eastAsia" w:ascii="等线" w:hAnsi="等线" w:eastAsia="仿宋" w:cs="Times New Roman"/>
                <w:sz w:val="32"/>
                <w:lang w:eastAsia="zh-CN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二、服务内容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1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提供上网行为管理原厂商1年原厂维保服务，维保服务内容包括：（提供原厂售后服务承诺函以及项目授权函）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质保时间：提供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年原厂工程师免费上门服务；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服务响应时间：提供1年7×24小时服务，接到通知后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小时内做出明确响应和安排，质保期内出现质量问题，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小时内到达客户现场；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 xml:space="preserve">服务团队：四川省内配备5名网络安全方面专业技术服务人员； 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提供2名原厂培训，提供完整的培训文档及操作手册。受训人员能够独立承担和完成相应的系统维护和管理工作；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提供原厂每年一次安全设备巡检服务；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提供备品备件服务，若使用设备发生故障，原厂备件须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小时内到现场；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提供原厂7x24小时400电话技术支持服务，提供现场安装和调试服务。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提供软件版本升级服务；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ascii="等线" w:hAnsi="等线" w:eastAsia="仿宋" w:cs="Times New Roman"/>
          <w:sz w:val="32"/>
        </w:rPr>
        <w:t>2.</w:t>
      </w:r>
      <w:r>
        <w:rPr>
          <w:rFonts w:hint="eastAsia" w:ascii="等线" w:hAnsi="等线" w:eastAsia="仿宋" w:cs="Times New Roman"/>
          <w:sz w:val="32"/>
        </w:rPr>
        <w:t>提供上网行为管理设备应用识别规则库</w:t>
      </w:r>
      <w:r>
        <w:rPr>
          <w:rFonts w:hint="eastAsia" w:ascii="等线" w:hAnsi="等线" w:eastAsia="仿宋" w:cs="Times New Roman"/>
          <w:sz w:val="32"/>
          <w:lang w:val="en-US" w:eastAsia="zh-CN"/>
        </w:rPr>
        <w:t>和</w:t>
      </w:r>
      <w:r>
        <w:rPr>
          <w:rFonts w:hint="eastAsia" w:ascii="等线" w:hAnsi="等线" w:eastAsia="仿宋" w:cs="Times New Roman"/>
          <w:sz w:val="32"/>
        </w:rPr>
        <w:t>U</w:t>
      </w:r>
      <w:r>
        <w:rPr>
          <w:rFonts w:ascii="等线" w:hAnsi="等线" w:eastAsia="仿宋" w:cs="Times New Roman"/>
          <w:sz w:val="32"/>
        </w:rPr>
        <w:t>RL</w:t>
      </w:r>
      <w:r>
        <w:rPr>
          <w:rFonts w:hint="eastAsia" w:ascii="等线" w:hAnsi="等线" w:eastAsia="仿宋" w:cs="Times New Roman"/>
          <w:sz w:val="32"/>
        </w:rPr>
        <w:t>规则库</w:t>
      </w:r>
      <w:r>
        <w:rPr>
          <w:rFonts w:ascii="等线" w:hAnsi="等线" w:eastAsia="仿宋" w:cs="Times New Roman"/>
          <w:sz w:val="32"/>
        </w:rPr>
        <w:t>1年升级</w:t>
      </w:r>
      <w:r>
        <w:rPr>
          <w:rFonts w:hint="eastAsia" w:ascii="等线" w:hAnsi="等线" w:eastAsia="仿宋" w:cs="Times New Roman"/>
          <w:sz w:val="32"/>
        </w:rPr>
        <w:t>服务，需定期对规则库进行升级，可选择在线升级或离线升级方式进行安全升级，上网行为管理设备的原厂商须提供在线指导服务。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A59019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3E5ED4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0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2026-06-01T08:51:17Z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