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现代护理学院护理实训室教学设备</w:t>
      </w: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8</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现代护理学院护理实训室教学设备</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1、报价为包干价，含税费、运输费、安装费、人工费等一切费用。</w:t>
      </w:r>
    </w:p>
    <w:p>
      <w:pPr>
        <w:pStyle w:val="2"/>
        <w:numPr>
          <w:ilvl w:val="0"/>
          <w:numId w:val="0"/>
        </w:numPr>
        <w:ind w:firstLine="723" w:firstLineChars="400"/>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2、</w:t>
      </w:r>
      <w:r>
        <w:rPr>
          <w:rFonts w:hint="eastAsia" w:ascii="宋体" w:hAnsi="宋体" w:eastAsia="宋体" w:cs="宋体"/>
          <w:b/>
          <w:bCs/>
          <w:sz w:val="18"/>
          <w:szCs w:val="18"/>
          <w:lang w:val="en-US" w:eastAsia="zh-CN"/>
        </w:rPr>
        <w:t>此报价必须单价、总价都要报</w:t>
      </w:r>
      <w:r>
        <w:rPr>
          <w:rFonts w:hint="eastAsia" w:ascii="宋体" w:hAnsi="宋体" w:cs="宋体"/>
          <w:b/>
          <w:bCs/>
          <w:sz w:val="18"/>
          <w:szCs w:val="18"/>
          <w:lang w:val="en-US" w:eastAsia="zh-CN"/>
        </w:rPr>
        <w:t>。</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spacing w:line="560" w:lineRule="exact"/>
        <w:jc w:val="both"/>
        <w:rPr>
          <w:rFonts w:hint="eastAsia" w:ascii="Calibri" w:hAnsi="Calibri" w:eastAsia="宋体" w:cs="Times New Roman"/>
          <w:b/>
          <w:bCs/>
          <w:color w:val="000000"/>
          <w:sz w:val="36"/>
          <w:szCs w:val="44"/>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tbl>
      <w:tblPr>
        <w:tblW w:w="9770" w:type="dxa"/>
        <w:tblInd w:w="0" w:type="dxa"/>
        <w:shd w:val="clear"/>
        <w:tblLayout w:type="fixed"/>
        <w:tblCellMar>
          <w:top w:w="0" w:type="dxa"/>
          <w:left w:w="0" w:type="dxa"/>
          <w:bottom w:w="0" w:type="dxa"/>
          <w:right w:w="0" w:type="dxa"/>
        </w:tblCellMar>
      </w:tblPr>
      <w:tblGrid>
        <w:gridCol w:w="328"/>
        <w:gridCol w:w="855"/>
        <w:gridCol w:w="6713"/>
        <w:gridCol w:w="437"/>
        <w:gridCol w:w="684"/>
        <w:gridCol w:w="753"/>
      </w:tblGrid>
      <w:tr>
        <w:tblPrEx>
          <w:shd w:val="clear"/>
          <w:tblLayout w:type="fixed"/>
          <w:tblCellMar>
            <w:top w:w="0" w:type="dxa"/>
            <w:left w:w="0" w:type="dxa"/>
            <w:bottom w:w="0" w:type="dxa"/>
            <w:right w:w="0" w:type="dxa"/>
          </w:tblCellMar>
        </w:tblPrEx>
        <w:trPr>
          <w:trHeight w:val="820" w:hRule="atLeast"/>
        </w:trPr>
        <w:tc>
          <w:tcPr>
            <w:tcW w:w="9770" w:type="dxa"/>
            <w:gridSpan w:val="6"/>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40"/>
                <w:szCs w:val="40"/>
                <w:u w:val="none"/>
              </w:rPr>
            </w:pPr>
            <w:r>
              <w:rPr>
                <w:rFonts w:hint="eastAsia" w:ascii="宋体" w:hAnsi="宋体" w:eastAsia="宋体" w:cs="宋体"/>
                <w:i w:val="0"/>
                <w:color w:val="000000"/>
                <w:kern w:val="0"/>
                <w:sz w:val="40"/>
                <w:szCs w:val="40"/>
                <w:u w:val="none"/>
                <w:bdr w:val="none" w:color="auto" w:sz="0" w:space="0"/>
                <w:lang w:val="en-US" w:eastAsia="zh-CN" w:bidi="ar"/>
              </w:rPr>
              <w:t>现代护理学院护理实训室教学设备采购清单</w:t>
            </w:r>
          </w:p>
        </w:tc>
      </w:tr>
      <w:tr>
        <w:tblPrEx>
          <w:tblLayout w:type="fixed"/>
          <w:tblCellMar>
            <w:top w:w="0" w:type="dxa"/>
            <w:left w:w="0" w:type="dxa"/>
            <w:bottom w:w="0" w:type="dxa"/>
            <w:right w:w="0" w:type="dxa"/>
          </w:tblCellMar>
        </w:tblPrEx>
        <w:trPr>
          <w:trHeight w:val="740" w:hRule="atLeast"/>
        </w:trPr>
        <w:tc>
          <w:tcPr>
            <w:tcW w:w="32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序号</w:t>
            </w:r>
          </w:p>
        </w:tc>
        <w:tc>
          <w:tcPr>
            <w:tcW w:w="855"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物品名称</w:t>
            </w:r>
          </w:p>
        </w:tc>
        <w:tc>
          <w:tcPr>
            <w:tcW w:w="671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参数</w:t>
            </w:r>
          </w:p>
        </w:tc>
        <w:tc>
          <w:tcPr>
            <w:tcW w:w="43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数量</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单价（元）</w:t>
            </w:r>
          </w:p>
        </w:tc>
        <w:tc>
          <w:tcPr>
            <w:tcW w:w="75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总价（元）</w:t>
            </w:r>
          </w:p>
        </w:tc>
      </w:tr>
      <w:tr>
        <w:tblPrEx>
          <w:tblLayout w:type="fixed"/>
          <w:tblCellMar>
            <w:top w:w="0" w:type="dxa"/>
            <w:left w:w="0" w:type="dxa"/>
            <w:bottom w:w="0" w:type="dxa"/>
            <w:right w:w="0" w:type="dxa"/>
          </w:tblCellMar>
        </w:tblPrEx>
        <w:trPr>
          <w:trHeight w:val="8180" w:hRule="atLeast"/>
        </w:trPr>
        <w:tc>
          <w:tcPr>
            <w:tcW w:w="32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高级成人护理模型</w:t>
            </w:r>
          </w:p>
        </w:tc>
        <w:tc>
          <w:tcPr>
            <w:tcW w:w="671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1.模型为成年女性，高分子环保材料制成，肤质仿真度高，解剖标志明显，可触及两乳头及剑突，模型人配有女性假发，形象逼真。</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2.关节灵活，可实现多种体位：去枕平卧位，屈膝仰卧位、半坐卧位、端坐位、俯卧位、头低足高位、头高足低位、侧卧位、截石位、昏迷体位等10余种。</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3.床上擦浴及更衣，扶助病人移向床头法、轮椅使用法、平车运送法、担架运送法等移动和搬运病人法，轴线翻身法，肢体约束法、肩部约束法、全身约束法</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4.瞳孔示教：一侧散大，一侧正常。</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★5.可触及剑突，测量胃管插入的深度。</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6.可进行乳房护理。</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7.托起头部使下颌靠近胸骨柄。</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8.鼻饲：可抽出模拟胃液。</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9.洗胃术：可经口、鼻进行洗胃器洗胃、电动吸引器洗胃、胃管洗胃、洗胃机洗胃，胃容量为500ml。</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10.导尿：男女互换生殖器，男性抬起阴茎与腹壁成60°角，导尿管顺利插入；操作成功后可导出模拟尿液。</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11.灌肠： 可实现大量不保留灌肠、小量不保留灌肠、清洁灌肠和保留灌肠等多种灌肠方式。</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12.造瘘口护理：可进行造瘘口清洗。</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 xml:space="preserve">13.口腔护理: 有活动义齿 。 </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14.气管切开术后护理。</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15.肌内注射：上臂、臀部和股外侧均有肌内注射块，可注入真实液体，注射模块均可更换。</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16.右手均有手背静脉网，头静脉、贵要静脉，可进行静脉输液、采血等操作。</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17.其他护理操作：吸氧、雾化吸入疗法、冷热疗法护理、外阴擦洗、外阴湿热敷、尿道冲洗、耳道冲洗及褥疮等多项护理操作。</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★18.配备师生互助学习平台，由小程序操作端（学员/导师）和Web 管理后台（教务/管理员）双端协同。</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★18.1小程序功能（学生端）：</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理论学习：看课程、学技能、看视频/图文</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理论考试：在线答题、交卷、看成绩</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技能训练：扫码配对练习、现场练、打分</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技能考核：正式考试、三阶段评分</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查结果：成绩页、我的页面都能看历史记录和证书</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互助学习：</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★18.2管理后台功能（教师端）：</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导师管理（机构/班级设置）</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学员管理（支持导入）</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理论学习（课程、技能内容维护）</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理论考试（题库、组卷、发布、阅卷）</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技能考训（练习记录、考试配对、成绩管理）</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统计报表（分析、班级学情、Excel 导出）</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FF0000"/>
                <w:kern w:val="0"/>
                <w:sz w:val="20"/>
                <w:szCs w:val="20"/>
                <w:u w:val="none"/>
                <w:bdr w:val="none" w:color="auto" w:sz="0" w:space="0"/>
                <w:lang w:val="en-US" w:eastAsia="zh-CN" w:bidi="ar"/>
              </w:rPr>
              <w:t>（演示项：提供≥5分钟的连续不间断软件操作讲解视频演示）</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19.提供师生互助学习平台软件管理员账户高级权限1年。</w:t>
            </w:r>
          </w:p>
        </w:tc>
        <w:tc>
          <w:tcPr>
            <w:tcW w:w="43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5个</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75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720" w:hRule="atLeast"/>
        </w:trPr>
        <w:tc>
          <w:tcPr>
            <w:tcW w:w="32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胸腔闭式引流术训练模型</w:t>
            </w:r>
          </w:p>
        </w:tc>
        <w:tc>
          <w:tcPr>
            <w:tcW w:w="671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1.模型为成年人上半身，形态逼真，质感真实</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2.练习插管成功后与周围皮肤的缝合固定；</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3.可进行胸部引流管放置，换药，及引流管的拔管操作</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4.用于病人手术区的准备练习：手术区域皮肤消毒、铺无菌布单等。                                                                       ★5.可还原临床工作真实感及互动感，使学生身临其境，帮助学生融入场景，提高学习的理解力和学习效率，大幅度提升教学质量。内容如下：体位引流的护理操作技术（一） 护士遵医嘱给予右下肺病变病人体位引流、体位引流的护理操作技术（二） 协助病人排痰过程中，有痰咳不出，护士协助病人进行胸部叩击、体位引流的护理操作技术（三） 病人持续体位引流10分钟，过程中自觉劳累，不能保持姿势，护士准确处理、体位引流的护理操作技术（四） 病人拒绝体位引流，护士如何沟通并处理。                                                                                      6.互动设备全程使用标准化病人（SP）+真实病人，所使用的的标准化病人（SP）具有至少3年及以上参加过全国职业技能大赛护理赛项、社会与健康照护大赛、养老服务技能大赛、OSCE考试等大型赛事的经验。</w:t>
            </w:r>
          </w:p>
        </w:tc>
        <w:tc>
          <w:tcPr>
            <w:tcW w:w="43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5个</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75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520" w:hRule="atLeast"/>
        </w:trPr>
        <w:tc>
          <w:tcPr>
            <w:tcW w:w="32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移动终端示教车</w:t>
            </w:r>
          </w:p>
        </w:tc>
        <w:tc>
          <w:tcPr>
            <w:tcW w:w="671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1.分辨率1920×1080、10倍光学变焦镜头，支持自动/半自动/手动聚焦</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2.支持3G-SDI/HDMI无损视频输出，插线接口</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3.金属外壳，配备高透防护玻璃，内藏式镜头设计</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4.支持高亮、普通等多种光照环境拍摄模式，具备强光抑制功能，可高亮度下正常拍摄</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5.具备机身控制按键，实现变倍、调焦、菜单设置等功能；支持拍摄角度调节，俯仰角0°～350°，水平0°～350°音视频录制功能</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6.具备2路视频输出接口，最大分辨率：4k ；主口VGA;辅口HDMI</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7.具备1路SDI视频输入，1路HDMI视频输入，最大分辨率支持4K</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8.具备1路音频输入，自带1路音频录制</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9.具备1路音频输出，自带扬声器</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10.具备21.5英寸1080P彩色液晶屏，自带本地存储（1TB硬盘），自带2个USB接口（其中1个前置USB3.0）</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11.具备多通道画面融合功能</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12.支持单画面和融合画面的同步录制</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13.支持视频的检索及回放，支持MP4格式视频文件的USB拷贝</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14.自带物理控制按键，具备一键录制、一键画面切换</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15.网络接口 RJ-45 10M/100M/1000M自适应以太网口</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16.基本参数：高度：1700mm±10mm、底座尺寸562mm*562mm、近景拍摄方位最大臂展1.1米，近景拍摄方位角调节，水平180°可调，垂直-20°～50°可调。具备4个万向及双轮全制动静音脚轮，移动便捷、制动稳定，支持预览教师设备画面，并支持将画面拖动或指定到对应位置；</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17.支持将教师端摄像头、课件画面预览到大屏展示，便于开展教学；</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18.支持课件上传，支持将课件拖动或指定到对应位置预览，支持文档、图片、视频课件预览；</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19.支持设备云台控制，支持云台方向、焦距调整；</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20.支持布局设置，支持单画面、画中画、二画面、左一右二、四画面、九画面六种方式；</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21.支持电子白板，支持自由绘制，制图形、绘制颜色、画笔粗细、撤回、恢复、清除画板以及保存画板的功能能；</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22.支持视频自由批注，支持选择画笔样式、颜色、粗细，以及对批注撤销、还原、清除以及保存；</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23.支持本地录制教师授课视频，便于教学后直接拷贝视频；</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24.支持录像查询，可以查看教师授课的录像；</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25.支持清晰度切换，支持开启硬解码，支持修改存储位置；</w:t>
            </w:r>
          </w:p>
        </w:tc>
        <w:tc>
          <w:tcPr>
            <w:tcW w:w="43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2个</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75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820" w:hRule="atLeast"/>
        </w:trPr>
        <w:tc>
          <w:tcPr>
            <w:tcW w:w="32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医学教学模拟训练系统</w:t>
            </w:r>
          </w:p>
        </w:tc>
        <w:tc>
          <w:tcPr>
            <w:tcW w:w="671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1.屏幕对角线尺寸：≥86inch</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2.显示模式:标准、用户、动态、亮丽</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3.背光源类型:DLED,背光</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4.像素间距:≥0.1645 (H) mm × 0.4935 (V) mm</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5.物理分辨率:≥3840 × 2160</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6.亮度:≥350 cd/m²</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7.对比度：≥1200 : 1</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8.响应时间：≥8 ms</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9.色彩饱和度：≥72% NTSC</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10.屏幕活动域:≥1895.04 (H) mm × 1065.96 (V) mm</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11.屏幕材质:A规屏</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12.内置摄像头:≥1600W</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13.触摸方式:红外触摸</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14.玻璃:AG钢化玻璃</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15.触控点≥40点触控</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16.触控响应速度:≤ 5 ms</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17.玻璃透过率:≥88%</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18.系统参数:操作系统：Android 14及以上</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19.配置要求不低于：CPU：≥Cortex A55 8核 1.55 GHz、内存≥ 4 GB DDR4、内置存储：≥32 GB、电源：100~240 VAC，50/60 Hz、运行功耗：≤ 350 W。接口不少于以下配置：音视频输入接口 HDMI in × 3；Type C × 1（前置）；Line in（3.5mm） × 1；音视频输出接口Line out（3.5mm） × 1；网络接口：千兆网口 × 2；存储控制接口：前置Type-A USB 3.0 × 3；Type-C USB 3.0 × 1；板载安卓USB 2.0 × 1；multi USB 3.0 × 1；Touch USB × 1；RS 232 × 1；内部喇叭：≥80W。含支架</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20.提供原厂安装及服务。</w:t>
            </w:r>
          </w:p>
        </w:tc>
        <w:tc>
          <w:tcPr>
            <w:tcW w:w="43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4套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753"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80" w:hRule="atLeast"/>
        </w:trPr>
        <w:tc>
          <w:tcPr>
            <w:tcW w:w="9770" w:type="dxa"/>
            <w:gridSpan w:val="6"/>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both"/>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合计：小写：       元、大写：                            元整。</w:t>
            </w:r>
            <w:bookmarkStart w:id="0" w:name="_GoBack"/>
            <w:bookmarkEnd w:id="0"/>
          </w:p>
        </w:tc>
      </w:tr>
    </w:tbl>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BF6EF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5</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2026-09-28T02:06:50Z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