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凤北校区图书馆阅览室翻新</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凤北校区图书馆阅览室翻新</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w:t>
            </w:r>
            <w:bookmarkStart w:id="0" w:name="_GoBack"/>
            <w:bookmarkEnd w:id="0"/>
            <w:r>
              <w:rPr>
                <w:rFonts w:hint="eastAsia" w:asciiTheme="minorEastAsia" w:hAnsiTheme="minorEastAsia" w:eastAsiaTheme="minorEastAsia" w:cstheme="minorEastAsia"/>
                <w:sz w:val="21"/>
                <w:szCs w:val="21"/>
              </w:rPr>
              <w:t>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118" w:type="dxa"/>
        <w:tblInd w:w="0" w:type="dxa"/>
        <w:shd w:val="clear" w:color="auto" w:fill="auto"/>
        <w:tblLayout w:type="fixed"/>
        <w:tblCellMar>
          <w:top w:w="0" w:type="dxa"/>
          <w:left w:w="0" w:type="dxa"/>
          <w:bottom w:w="0" w:type="dxa"/>
          <w:right w:w="0" w:type="dxa"/>
        </w:tblCellMar>
      </w:tblPr>
      <w:tblGrid>
        <w:gridCol w:w="320"/>
        <w:gridCol w:w="592"/>
        <w:gridCol w:w="359"/>
        <w:gridCol w:w="1193"/>
        <w:gridCol w:w="3432"/>
        <w:gridCol w:w="679"/>
        <w:gridCol w:w="679"/>
        <w:gridCol w:w="975"/>
        <w:gridCol w:w="642"/>
        <w:gridCol w:w="642"/>
        <w:gridCol w:w="605"/>
      </w:tblGrid>
      <w:tr>
        <w:tblPrEx>
          <w:shd w:val="clear" w:color="auto" w:fill="auto"/>
          <w:tblLayout w:type="fixed"/>
          <w:tblCellMar>
            <w:top w:w="0" w:type="dxa"/>
            <w:left w:w="0" w:type="dxa"/>
            <w:bottom w:w="0" w:type="dxa"/>
            <w:right w:w="0" w:type="dxa"/>
          </w:tblCellMar>
        </w:tblPrEx>
        <w:trPr>
          <w:trHeight w:val="500" w:hRule="atLeast"/>
        </w:trPr>
        <w:tc>
          <w:tcPr>
            <w:tcW w:w="10118" w:type="dxa"/>
            <w:gridSpan w:val="11"/>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7705" cy="3175"/>
                  <wp:effectExtent l="0" t="0" r="0" b="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link="rId4"/>
                          <a:stretch>
                            <a:fillRect/>
                          </a:stretch>
                        </pic:blipFill>
                        <pic:spPr>
                          <a:xfrm>
                            <a:off x="0" y="0"/>
                            <a:ext cx="3227705"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9610" cy="1270"/>
                  <wp:effectExtent l="0" t="0" r="0" b="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link="rId5"/>
                          <a:stretch>
                            <a:fillRect/>
                          </a:stretch>
                        </pic:blipFill>
                        <pic:spPr>
                          <a:xfrm>
                            <a:off x="0" y="0"/>
                            <a:ext cx="3229610"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2698750</wp:posOffset>
                  </wp:positionH>
                  <wp:positionV relativeFrom="paragraph">
                    <wp:posOffset>0</wp:posOffset>
                  </wp:positionV>
                  <wp:extent cx="2147570" cy="4445"/>
                  <wp:effectExtent l="0" t="0" r="0" b="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link="rId6"/>
                          <a:stretch>
                            <a:fillRect/>
                          </a:stretch>
                        </pic:blipFill>
                        <pic:spPr>
                          <a:xfrm>
                            <a:off x="0" y="0"/>
                            <a:ext cx="2147570"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2708910</wp:posOffset>
                  </wp:positionH>
                  <wp:positionV relativeFrom="paragraph">
                    <wp:posOffset>0</wp:posOffset>
                  </wp:positionV>
                  <wp:extent cx="1910715" cy="0"/>
                  <wp:effectExtent l="0" t="0" r="0" b="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link="rId7"/>
                          <a:stretch>
                            <a:fillRect/>
                          </a:stretch>
                        </pic:blipFill>
                        <pic:spPr>
                          <a:xfrm>
                            <a:off x="0" y="0"/>
                            <a:ext cx="1910715"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3178175</wp:posOffset>
                  </wp:positionH>
                  <wp:positionV relativeFrom="paragraph">
                    <wp:posOffset>0</wp:posOffset>
                  </wp:positionV>
                  <wp:extent cx="2918460" cy="1905"/>
                  <wp:effectExtent l="0" t="0" r="0" b="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link="rId8"/>
                          <a:stretch>
                            <a:fillRect/>
                          </a:stretch>
                        </pic:blipFill>
                        <pic:spPr>
                          <a:xfrm>
                            <a:off x="0" y="0"/>
                            <a:ext cx="2918460"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t>凤北校区图书馆阅览室翻新项目报价表</w:t>
            </w:r>
          </w:p>
        </w:tc>
      </w:tr>
      <w:tr>
        <w:tblPrEx>
          <w:tblLayout w:type="fixed"/>
          <w:tblCellMar>
            <w:top w:w="0" w:type="dxa"/>
            <w:left w:w="0" w:type="dxa"/>
            <w:bottom w:w="0" w:type="dxa"/>
            <w:right w:w="0" w:type="dxa"/>
          </w:tblCellMar>
        </w:tblPrEx>
        <w:trPr>
          <w:trHeight w:val="5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说明：凤北校区图书馆二楼阅览室现有设施陈旧，墙面脱落，窗帘老旧，需进行翻新装修。同时，施工前，需与甲方签订安全协议。</w:t>
            </w: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作业单项</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描述及要求</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品牌及规格型号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7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墙面翻新</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乳胶漆墙面</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全屋铲除旧墙皮，重新刮涂仿瓷底料、面料，表面刷白色乳胶漆。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电路改造</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PVC阻燃线槽</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40*19PVC阻燃线槽</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07"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五孔插座</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86型明装五孔插座</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7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空调接线盒</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明装空调接线盒带2P空开</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3"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开关</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更换全屋所有照明开关</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16"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LED条型灯</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≥(120cm*10cm)条型LED灯（吊装）</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盏</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440" w:hRule="atLeast"/>
        </w:trPr>
        <w:tc>
          <w:tcPr>
            <w:tcW w:w="320"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119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参考图：</w:t>
            </w:r>
          </w:p>
        </w:tc>
        <w:tc>
          <w:tcPr>
            <w:tcW w:w="4790" w:type="dxa"/>
            <w:gridSpan w:val="3"/>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27940</wp:posOffset>
                  </wp:positionH>
                  <wp:positionV relativeFrom="paragraph">
                    <wp:posOffset>24765</wp:posOffset>
                  </wp:positionV>
                  <wp:extent cx="2486660" cy="833120"/>
                  <wp:effectExtent l="0" t="0" r="2540" b="5080"/>
                  <wp:wrapNone/>
                  <wp:docPr id="11" name="图片_21"/>
                  <wp:cNvGraphicFramePr/>
                  <a:graphic xmlns:a="http://schemas.openxmlformats.org/drawingml/2006/main">
                    <a:graphicData uri="http://schemas.openxmlformats.org/drawingml/2006/picture">
                      <pic:pic xmlns:pic="http://schemas.openxmlformats.org/drawingml/2006/picture">
                        <pic:nvPicPr>
                          <pic:cNvPr id="11" name="图片_21"/>
                          <pic:cNvPicPr/>
                        </pic:nvPicPr>
                        <pic:blipFill>
                          <a:blip r:link="rId9"/>
                          <a:stretch>
                            <a:fillRect/>
                          </a:stretch>
                        </pic:blipFill>
                        <pic:spPr>
                          <a:xfrm>
                            <a:off x="0" y="0"/>
                            <a:ext cx="2486660" cy="833120"/>
                          </a:xfrm>
                          <a:prstGeom prst="rect">
                            <a:avLst/>
                          </a:prstGeom>
                          <a:noFill/>
                          <a:ln>
                            <a:noFill/>
                          </a:ln>
                        </pic:spPr>
                      </pic:pic>
                    </a:graphicData>
                  </a:graphic>
                </wp:anchor>
              </w:drawing>
            </w:r>
          </w:p>
        </w:tc>
        <w:tc>
          <w:tcPr>
            <w:tcW w:w="975"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82"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窗帘更换</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拆除原旧窗帘及支架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0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窗帘尺寸约为2.57m宽，2.5m高，对开，采用遮光布材质，要能全履盖窗户。连罗马杆等全套配件。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窗帘尺寸约为7m宽，2.5m高。窗帘对开，采用遮光布材质，能全履盖窗户。连罗马杆等全套配件。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95"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更换前后大门</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拆除前后旧门</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顶部封板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原大门高度约为2.8米，顶部有副窗。将顶部过高部分用木方条+石膏板封板，留下净空2.2m空间。</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处</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6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钢质防盗门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钢质加厚防盗门，厚度0.5mm。宽依门洞尺寸高为2.2m，外包边。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搬运及垃圾清运费用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材料搬运、转运、垃圾清运及开荒保洁费用</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94"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lang w:val="en-US" w:eastAsia="zh-CN" w:bidi="ar"/>
              </w:rPr>
              <w:t>合计：小写：     元、大写：                           元整。</w:t>
            </w:r>
          </w:p>
        </w:tc>
      </w:tr>
      <w:tr>
        <w:tblPrEx>
          <w:tblLayout w:type="fixed"/>
          <w:tblCellMar>
            <w:top w:w="0" w:type="dxa"/>
            <w:left w:w="0" w:type="dxa"/>
            <w:bottom w:w="0" w:type="dxa"/>
            <w:right w:w="0" w:type="dxa"/>
          </w:tblCellMar>
        </w:tblPrEx>
        <w:trPr>
          <w:trHeight w:val="11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1.以上预算费用除特殊标注外均包含原材料、施工工具、运输、安装、劳务、文明施工、安全施工、垃圾清扫与清运及税费等费用(学校仅免费提供水电)。2.数量以实际验收数量为准予以结算。3.中标商家须在询价工作结束后7个工作日内完成施工、验收等工作。在施工过程中，应学校要求，如出现增项或增量、改变方案、相关技术参数等原因，其超额须控制在成交总价的10%以内。</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8381C"/>
    <w:rsid w:val="037137FD"/>
    <w:rsid w:val="04904570"/>
    <w:rsid w:val="05036529"/>
    <w:rsid w:val="050E2ECE"/>
    <w:rsid w:val="063A7F01"/>
    <w:rsid w:val="06A27B74"/>
    <w:rsid w:val="07466AC9"/>
    <w:rsid w:val="07AE3835"/>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1ED908A2"/>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8FD39E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BD74CE"/>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9773F14"/>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clip_image22.png" TargetMode="External"/><Relationship Id="rId8" Type="http://schemas.openxmlformats.org/officeDocument/2006/relationships/image" Target="file:///C:\Users\ADMINI~1\AppData\Local\Temp\ksohtml\clip_image3.png" TargetMode="External"/><Relationship Id="rId7" Type="http://schemas.openxmlformats.org/officeDocument/2006/relationships/image" Target="file:///C:\Users\ADMINI~1\AppData\Local\Temp\ksohtml\clip_image5.png" TargetMode="External"/><Relationship Id="rId6" Type="http://schemas.openxmlformats.org/officeDocument/2006/relationships/image" Target="file:///C:\Users\ADMINI~1\AppData\Local\Temp\ksohtml\clip_image2.png" TargetMode="External"/><Relationship Id="rId5" Type="http://schemas.openxmlformats.org/officeDocument/2006/relationships/image" Target="file:///C:\Users\ADMINI~1\AppData\Local\Temp\ksohtml\clip_image6.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27</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2025-12-09T08:12:34Z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