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2026年达州职业技术学院网络公选课及配套服务</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2026年达州职业技术学院网络公选课及配套服务</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备注:报价为包干价，含税费、运输费、安装费、人工费等一切费用。</w:t>
      </w:r>
    </w:p>
    <w:p>
      <w:pPr>
        <w:rPr>
          <w:rFonts w:hint="eastAsia" w:eastAsia="宋体"/>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numPr>
          <w:ilvl w:val="0"/>
          <w:numId w:val="0"/>
        </w:numPr>
        <w:adjustRightInd w:val="0"/>
        <w:snapToGrid w:val="0"/>
        <w:spacing w:after="0" w:line="360" w:lineRule="auto"/>
        <w:ind w:leftChars="0" w:firstLine="643" w:firstLineChars="200"/>
        <w:rPr>
          <w:rFonts w:hint="eastAsia" w:ascii="宋体" w:hAnsi="宋体" w:eastAsia="宋体" w:cs="宋体"/>
          <w:b/>
          <w:kern w:val="44"/>
          <w:sz w:val="32"/>
          <w:szCs w:val="32"/>
          <w:lang w:val="en-US" w:eastAsia="zh-CN" w:bidi="ar-SA"/>
        </w:rPr>
      </w:pPr>
      <w:bookmarkStart w:id="0" w:name="_Toc505260251"/>
      <w:bookmarkStart w:id="1" w:name="_Toc513196935"/>
      <w:bookmarkStart w:id="2" w:name="_Toc513197337"/>
    </w:p>
    <w:p>
      <w:pPr>
        <w:numPr>
          <w:ilvl w:val="0"/>
          <w:numId w:val="0"/>
        </w:numPr>
        <w:adjustRightInd w:val="0"/>
        <w:snapToGrid w:val="0"/>
        <w:spacing w:after="0" w:line="360" w:lineRule="auto"/>
        <w:rPr>
          <w:rFonts w:hint="eastAsia" w:ascii="宋体" w:hAnsi="宋体" w:eastAsia="宋体" w:cs="宋体"/>
          <w:b/>
          <w:kern w:val="44"/>
          <w:sz w:val="32"/>
          <w:szCs w:val="32"/>
          <w:lang w:val="en-US" w:eastAsia="zh-CN" w:bidi="ar-SA"/>
        </w:rPr>
      </w:pPr>
      <w:r>
        <w:rPr>
          <w:rFonts w:hint="eastAsia" w:ascii="宋体" w:hAnsi="宋体" w:eastAsia="宋体" w:cs="宋体"/>
          <w:b/>
          <w:kern w:val="44"/>
          <w:sz w:val="32"/>
          <w:szCs w:val="32"/>
          <w:lang w:val="en-US" w:eastAsia="zh-CN" w:bidi="ar-SA"/>
        </w:rPr>
        <w:t>附件2：</w:t>
      </w:r>
      <w:bookmarkEnd w:id="0"/>
      <w:bookmarkEnd w:id="1"/>
      <w:bookmarkEnd w:id="2"/>
    </w:p>
    <w:p>
      <w:pPr>
        <w:jc w:val="center"/>
        <w:rPr>
          <w:rFonts w:ascii="黑体" w:hAnsi="黑体" w:eastAsia="黑体" w:cs="Times New Roman"/>
          <w:b/>
          <w:sz w:val="32"/>
          <w:szCs w:val="32"/>
        </w:rPr>
      </w:pPr>
      <w:r>
        <w:rPr>
          <w:rFonts w:hint="eastAsia" w:ascii="黑体" w:hAnsi="黑体" w:eastAsia="黑体" w:cs="Times New Roman"/>
          <w:b/>
          <w:sz w:val="32"/>
          <w:szCs w:val="32"/>
        </w:rPr>
        <w:t>网络公选课程资源项目技术参数</w:t>
      </w:r>
    </w:p>
    <w:p>
      <w:pPr>
        <w:jc w:val="center"/>
        <w:rPr>
          <w:rFonts w:ascii="Calibri" w:hAnsi="Calibri" w:eastAsia="宋体" w:cs="Times New Roman"/>
          <w:b/>
          <w:sz w:val="28"/>
          <w:szCs w:val="28"/>
        </w:rPr>
      </w:pPr>
    </w:p>
    <w:p>
      <w:pPr>
        <w:rPr>
          <w:rFonts w:ascii="Calibri" w:hAnsi="Calibri" w:eastAsia="宋体" w:cs="Times New Roman"/>
          <w:b/>
          <w:sz w:val="28"/>
          <w:szCs w:val="28"/>
        </w:rPr>
      </w:pPr>
      <w:r>
        <w:rPr>
          <w:rFonts w:hint="eastAsia" w:ascii="Calibri" w:hAnsi="Calibri" w:eastAsia="宋体" w:cs="Times New Roman"/>
          <w:b/>
          <w:sz w:val="28"/>
          <w:szCs w:val="28"/>
        </w:rPr>
        <w:t>（一）采购内容及相关要求</w:t>
      </w:r>
    </w:p>
    <w:tbl>
      <w:tblPr>
        <w:tblStyle w:val="34"/>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1588"/>
        <w:gridCol w:w="6950"/>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trPr>
        <w:tc>
          <w:tcPr>
            <w:tcW w:w="47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序号</w:t>
            </w:r>
          </w:p>
        </w:tc>
        <w:tc>
          <w:tcPr>
            <w:tcW w:w="1588" w:type="dxa"/>
            <w:vAlign w:val="center"/>
          </w:tcPr>
          <w:p>
            <w:pPr>
              <w:spacing w:line="276" w:lineRule="auto"/>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6950" w:type="dxa"/>
            <w:vAlign w:val="center"/>
          </w:tcPr>
          <w:p>
            <w:pPr>
              <w:spacing w:line="276" w:lineRule="auto"/>
              <w:ind w:firstLine="420"/>
              <w:jc w:val="center"/>
              <w:rPr>
                <w:rFonts w:hint="eastAsia" w:ascii="宋体" w:hAnsi="宋体" w:eastAsia="宋体" w:cs="宋体"/>
                <w:sz w:val="24"/>
                <w:szCs w:val="24"/>
              </w:rPr>
            </w:pPr>
            <w:r>
              <w:rPr>
                <w:rFonts w:hint="eastAsia" w:ascii="宋体" w:hAnsi="宋体" w:eastAsia="宋体" w:cs="宋体"/>
                <w:sz w:val="24"/>
                <w:szCs w:val="24"/>
              </w:rPr>
              <w:t>主要技术参数要求</w:t>
            </w: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数量/单位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2" w:hRule="atLeast"/>
        </w:trPr>
        <w:tc>
          <w:tcPr>
            <w:tcW w:w="47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 1</w:t>
            </w:r>
          </w:p>
        </w:tc>
        <w:tc>
          <w:tcPr>
            <w:tcW w:w="1588" w:type="dxa"/>
            <w:vAlign w:val="center"/>
          </w:tcPr>
          <w:p>
            <w:pPr>
              <w:spacing w:line="276" w:lineRule="auto"/>
              <w:jc w:val="center"/>
              <w:rPr>
                <w:rFonts w:hint="eastAsia" w:ascii="宋体" w:hAnsi="宋体" w:eastAsia="宋体" w:cs="宋体"/>
                <w:sz w:val="24"/>
                <w:szCs w:val="24"/>
              </w:rPr>
            </w:pPr>
            <w:r>
              <w:rPr>
                <w:rFonts w:hint="eastAsia" w:ascii="宋体" w:hAnsi="宋体" w:eastAsia="宋体" w:cs="宋体"/>
                <w:sz w:val="24"/>
                <w:szCs w:val="24"/>
              </w:rPr>
              <w:t>基本要求</w:t>
            </w:r>
          </w:p>
        </w:tc>
        <w:tc>
          <w:tcPr>
            <w:tcW w:w="6950" w:type="dxa"/>
            <w:vAlign w:val="center"/>
          </w:tcPr>
          <w:p>
            <w:pPr>
              <w:keepNext/>
              <w:keepLines/>
              <w:spacing w:line="360" w:lineRule="auto"/>
              <w:ind w:left="55" w:leftChars="-32" w:hanging="122" w:hangingChars="51"/>
              <w:outlineLvl w:val="1"/>
              <w:rPr>
                <w:rFonts w:hint="eastAsia" w:ascii="宋体" w:hAnsi="宋体" w:eastAsia="宋体" w:cs="宋体"/>
                <w:bCs/>
                <w:sz w:val="24"/>
                <w:szCs w:val="24"/>
                <w:lang w:val="en-US" w:eastAsia="zh-CN"/>
              </w:rPr>
            </w:pPr>
            <w:bookmarkStart w:id="3" w:name="_Toc336854276"/>
            <w:r>
              <w:rPr>
                <w:rFonts w:hint="eastAsia" w:ascii="宋体" w:hAnsi="宋体" w:eastAsia="宋体" w:cs="宋体"/>
                <w:sz w:val="24"/>
                <w:szCs w:val="24"/>
              </w:rPr>
              <w:t>★</w:t>
            </w:r>
            <w:r>
              <w:rPr>
                <w:rFonts w:hint="eastAsia" w:ascii="宋体" w:hAnsi="宋体" w:eastAsia="宋体" w:cs="宋体"/>
                <w:bCs/>
                <w:sz w:val="24"/>
                <w:szCs w:val="24"/>
              </w:rPr>
              <w:t>1</w:t>
            </w:r>
            <w:r>
              <w:rPr>
                <w:rFonts w:hint="eastAsia" w:ascii="宋体" w:hAnsi="宋体" w:eastAsia="宋体" w:cs="宋体"/>
                <w:bCs/>
                <w:sz w:val="24"/>
                <w:szCs w:val="24"/>
                <w:lang w:val="en-US" w:eastAsia="zh-CN"/>
              </w:rPr>
              <w:t>.</w:t>
            </w:r>
            <w:r>
              <w:rPr>
                <w:rFonts w:hint="eastAsia" w:ascii="宋体" w:hAnsi="宋体" w:eastAsia="宋体" w:cs="宋体"/>
                <w:bCs/>
                <w:sz w:val="24"/>
                <w:szCs w:val="24"/>
              </w:rPr>
              <w:t>课程体系门类</w:t>
            </w:r>
            <w:bookmarkEnd w:id="3"/>
            <w:r>
              <w:rPr>
                <w:rFonts w:hint="eastAsia" w:ascii="宋体" w:hAnsi="宋体" w:eastAsia="宋体" w:cs="宋体"/>
                <w:bCs/>
                <w:sz w:val="24"/>
                <w:szCs w:val="24"/>
              </w:rPr>
              <w:t>:</w:t>
            </w:r>
            <w:r>
              <w:rPr>
                <w:rFonts w:hint="eastAsia" w:ascii="宋体" w:hAnsi="宋体" w:eastAsia="宋体" w:cs="宋体"/>
                <w:sz w:val="24"/>
                <w:szCs w:val="24"/>
              </w:rPr>
              <w:t>包含以下课程体系内容：综合素养类、通用能力类、成长基础类</w:t>
            </w:r>
            <w:r>
              <w:rPr>
                <w:rFonts w:hint="eastAsia" w:ascii="宋体" w:hAnsi="宋体" w:eastAsia="宋体" w:cs="宋体"/>
                <w:sz w:val="24"/>
                <w:szCs w:val="24"/>
                <w:lang w:eastAsia="zh-CN"/>
              </w:rPr>
              <w:t>、</w:t>
            </w:r>
            <w:r>
              <w:rPr>
                <w:rFonts w:hint="eastAsia" w:ascii="宋体" w:hAnsi="宋体" w:eastAsia="宋体" w:cs="宋体"/>
                <w:sz w:val="24"/>
                <w:szCs w:val="24"/>
              </w:rPr>
              <w:t>创新创业类、公共必修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文化通识、劳动素养、科学素养、美育教育、职业素养等课程类别（详见附件选课清单）。</w:t>
            </w:r>
          </w:p>
          <w:p>
            <w:pPr>
              <w:keepNext/>
              <w:keepLines/>
              <w:spacing w:line="360" w:lineRule="auto"/>
              <w:ind w:left="56" w:leftChars="-32" w:hanging="123" w:hangingChars="51"/>
              <w:outlineLvl w:val="1"/>
              <w:rPr>
                <w:rFonts w:hint="eastAsia" w:ascii="宋体" w:hAnsi="宋体" w:eastAsia="宋体" w:cs="宋体"/>
                <w:bCs/>
                <w:color w:val="000000"/>
                <w:sz w:val="24"/>
                <w:szCs w:val="24"/>
              </w:rPr>
            </w:pPr>
            <w:r>
              <w:rPr>
                <w:rFonts w:hint="eastAsia" w:ascii="宋体" w:hAnsi="宋体" w:eastAsia="宋体" w:cs="宋体"/>
                <w:b/>
                <w:bCs/>
                <w:color w:val="000000"/>
                <w:sz w:val="24"/>
                <w:szCs w:val="24"/>
              </w:rPr>
              <w:t>2.</w:t>
            </w:r>
            <w:r>
              <w:rPr>
                <w:rFonts w:hint="eastAsia" w:ascii="宋体" w:hAnsi="宋体" w:eastAsia="宋体" w:cs="宋体"/>
                <w:color w:val="000000"/>
                <w:sz w:val="24"/>
                <w:szCs w:val="24"/>
              </w:rPr>
              <w:t xml:space="preserve"> 师资来源： </w:t>
            </w:r>
            <w:r>
              <w:rPr>
                <w:rFonts w:hint="eastAsia" w:ascii="宋体" w:hAnsi="宋体" w:eastAsia="宋体" w:cs="宋体"/>
                <w:color w:val="000000"/>
                <w:sz w:val="24"/>
                <w:szCs w:val="24"/>
                <w:lang w:val="en-US" w:eastAsia="zh-CN"/>
              </w:rPr>
              <w:t>职业教育领域专家、行业导师、国家级双高院校及</w:t>
            </w:r>
            <w:r>
              <w:rPr>
                <w:rFonts w:hint="eastAsia" w:ascii="宋体" w:hAnsi="宋体" w:eastAsia="宋体" w:cs="宋体"/>
                <w:color w:val="000000"/>
                <w:sz w:val="24"/>
                <w:szCs w:val="24"/>
              </w:rPr>
              <w:t>国内外知名院校</w:t>
            </w:r>
            <w:r>
              <w:rPr>
                <w:rFonts w:hint="eastAsia" w:ascii="宋体" w:hAnsi="宋体" w:eastAsia="宋体" w:cs="宋体"/>
                <w:color w:val="000000"/>
                <w:sz w:val="24"/>
                <w:szCs w:val="24"/>
                <w:lang w:val="en-US" w:eastAsia="zh-CN"/>
              </w:rPr>
              <w:t>的相关课程名师</w:t>
            </w:r>
            <w:r>
              <w:rPr>
                <w:rFonts w:hint="eastAsia" w:ascii="宋体" w:hAnsi="宋体" w:eastAsia="宋体" w:cs="宋体"/>
                <w:color w:val="000000"/>
                <w:sz w:val="24"/>
                <w:szCs w:val="24"/>
              </w:rPr>
              <w:t>。</w:t>
            </w:r>
          </w:p>
          <w:p>
            <w:pPr>
              <w:keepNext/>
              <w:keepLines/>
              <w:spacing w:line="360" w:lineRule="auto"/>
              <w:ind w:left="55" w:leftChars="-32" w:hanging="122" w:hangingChars="51"/>
              <w:outlineLvl w:val="1"/>
              <w:rPr>
                <w:rFonts w:hint="eastAsia" w:ascii="宋体" w:hAnsi="宋体" w:eastAsia="宋体" w:cs="宋体"/>
                <w:bCs/>
                <w:sz w:val="24"/>
                <w:szCs w:val="24"/>
                <w:lang w:eastAsia="zh-CN"/>
              </w:rPr>
            </w:pPr>
            <w:r>
              <w:rPr>
                <w:rFonts w:hint="eastAsia" w:ascii="宋体" w:hAnsi="宋体" w:eastAsia="宋体" w:cs="宋体"/>
                <w:sz w:val="24"/>
                <w:szCs w:val="24"/>
              </w:rPr>
              <w:t>3.投标商已解决课程版权事宜，不会给学校带来版权纠纷</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4.讲课视频要高清拍摄，影视级制作，配备完整字幕，视频中配备图片等多媒体素材帮助学生学习，每个视频文件平均时长为15分钟，FLV或MP4格式</w:t>
            </w:r>
          </w:p>
          <w:p>
            <w:pPr>
              <w:keepNext/>
              <w:keepLines/>
              <w:spacing w:line="360" w:lineRule="auto"/>
              <w:ind w:left="210" w:hanging="240" w:hangingChars="100"/>
              <w:outlineLvl w:val="2"/>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.每门课程需要配有完善的教学大纲，相关试题库（选择题、判断题、简 答题），每门课程包含200道左右考题，试题每年更新一次；上述资源均可在网络上直接访问。</w:t>
            </w:r>
          </w:p>
          <w:p>
            <w:pPr>
              <w:widowControl w:val="0"/>
              <w:autoSpaceDE w:val="0"/>
              <w:autoSpaceDN w:val="0"/>
              <w:adjustRightInd w:val="0"/>
              <w:spacing w:line="360" w:lineRule="auto"/>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★6．每门课程除了完善的教学视频外，必须至少包含与本门课程相关的图书、专题两部分内容，以丰富学生的课上课外学习，其中，相关电子版参考文献至少30册，相关专题至少5个，相关视频讲座至少5小时。</w:t>
            </w:r>
          </w:p>
          <w:p>
            <w:pPr>
              <w:keepNext/>
              <w:keepLines/>
              <w:spacing w:line="360" w:lineRule="auto"/>
              <w:ind w:left="210" w:hanging="240" w:hangingChars="100"/>
              <w:outlineLvl w:val="2"/>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b/>
                <w:bCs/>
                <w:sz w:val="24"/>
                <w:szCs w:val="24"/>
              </w:rPr>
              <w:t>★</w:t>
            </w:r>
            <w:r>
              <w:rPr>
                <w:rFonts w:hint="eastAsia" w:ascii="宋体" w:hAnsi="宋体" w:eastAsia="宋体" w:cs="宋体"/>
                <w:sz w:val="24"/>
                <w:szCs w:val="24"/>
              </w:rPr>
              <w:t>学习系统可以无缝链接到学校馆藏资源，支持文献查询功能的对接，且接口开放，方便学习过程中引用查询本校电子资源库中的图书、论文、期刊、专题等拓展读物和知识点的拓展阅读，形成资源的多次利用。</w:t>
            </w: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                                   1套/1年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47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w:t>
            </w:r>
          </w:p>
        </w:tc>
        <w:tc>
          <w:tcPr>
            <w:tcW w:w="1588" w:type="dxa"/>
            <w:vAlign w:val="center"/>
          </w:tcPr>
          <w:p>
            <w:pPr>
              <w:spacing w:line="276" w:lineRule="auto"/>
              <w:jc w:val="center"/>
              <w:rPr>
                <w:rFonts w:hint="eastAsia" w:ascii="宋体" w:hAnsi="宋体" w:eastAsia="宋体" w:cs="宋体"/>
                <w:sz w:val="24"/>
                <w:szCs w:val="24"/>
              </w:rPr>
            </w:pPr>
            <w:r>
              <w:rPr>
                <w:rFonts w:hint="eastAsia" w:ascii="宋体" w:hAnsi="宋体" w:eastAsia="宋体" w:cs="宋体"/>
                <w:sz w:val="24"/>
                <w:szCs w:val="24"/>
              </w:rPr>
              <w:t>学习PC端平台技术要求</w:t>
            </w:r>
          </w:p>
        </w:tc>
        <w:tc>
          <w:tcPr>
            <w:tcW w:w="6950" w:type="dxa"/>
            <w:vAlign w:val="center"/>
          </w:tcPr>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1.支持校园本地和远程两种访问模式、服务虚拟化；</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2.客户端系统对于客户系统无限制，支持IE(6 / 7 / 8 / 9 / 10) , Firefox 3.0以上，360安全浏览器；</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3.管理平台模块(管理员)：</w:t>
            </w:r>
          </w:p>
          <w:p>
            <w:pPr>
              <w:numPr>
                <w:ilvl w:val="0"/>
                <w:numId w:val="1"/>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集成课程管理，包含学校选课信息、开课信息设置、课程考核设置、课程归档设置、学生信息查询功能；</w:t>
            </w:r>
          </w:p>
          <w:p>
            <w:pPr>
              <w:numPr>
                <w:ilvl w:val="0"/>
                <w:numId w:val="1"/>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集成教师管理，包含教师设置、教学督导；</w:t>
            </w:r>
          </w:p>
          <w:p>
            <w:pPr>
              <w:numPr>
                <w:ilvl w:val="0"/>
                <w:numId w:val="1"/>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集成公告管理，包含发布公告、公共编辑功能；</w:t>
            </w:r>
          </w:p>
          <w:p>
            <w:pPr>
              <w:numPr>
                <w:ilvl w:val="0"/>
                <w:numId w:val="1"/>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集成学习进度统计，包含按课程统计、按作业统计、按答疑统计、按讨论统计，汇总统计等；</w:t>
            </w:r>
          </w:p>
          <w:p>
            <w:pPr>
              <w:numPr>
                <w:ilvl w:val="0"/>
                <w:numId w:val="1"/>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集成访问量统计，包含课程统计、在线人数统计、历史通过率统计、历史工作量统计等；</w:t>
            </w:r>
          </w:p>
          <w:p>
            <w:pPr>
              <w:numPr>
                <w:ilvl w:val="0"/>
                <w:numId w:val="1"/>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课程档案管理，包含历史通过率统计，历史工作量统计。</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4.管理平台模块(教师):</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★教师可设置课程的发布模式：包括闯关教学模式与自由学习模式，还可选择一次性发布学习任务和分批自动发布学习任务。</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支持课程资源管理，允许对课程相关资源进行发布，支持文本、pdf、ppt、视频等各类媒体文件；可根据课程需要推送大量相关资料；平台提供可检索查看的数字资源，包含不少于200万册的电子图书和不少于10万集的学术视频。</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通知管理，教师对课程相关通知进行发布及管理；推送到学生的各个终端，系统自动反馈通知阅读情况，教师可在线查看</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支持题库管理，教师对课程题库维护操作；</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课程作业管理，对作业进行批阅、查看、统计等；</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课程考试管理，集成考试设置、考试批阅；支持线上试卷导出打印</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集成课程答疑管理，教师通过课程答疑回复学生的提问；</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课程讨论管理，对学生的课程讨论进行管理及参与讨论；</w:t>
            </w:r>
          </w:p>
          <w:p>
            <w:pPr>
              <w:numPr>
                <w:ilvl w:val="0"/>
                <w:numId w:val="2"/>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统计分析管理，包含作业统计、考试统计、讨论统计、答疑统计、学习进度统计。</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5.平台模块(学生):</w:t>
            </w:r>
          </w:p>
          <w:p>
            <w:pPr>
              <w:numPr>
                <w:ilvl w:val="0"/>
                <w:numId w:val="3"/>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支持我的任务管理，包含正在学习的课程，我的最新任务，我的最新公告，我的数据统计；</w:t>
            </w:r>
          </w:p>
          <w:p>
            <w:pPr>
              <w:numPr>
                <w:ilvl w:val="0"/>
                <w:numId w:val="3"/>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设置课程管理，包含正在学习的课程，已经完成的课程；</w:t>
            </w:r>
          </w:p>
          <w:p>
            <w:pPr>
              <w:numPr>
                <w:ilvl w:val="0"/>
                <w:numId w:val="3"/>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作业管理，包含正在学习课程的作业、已经完成课程的作业管理；</w:t>
            </w:r>
          </w:p>
          <w:p>
            <w:pPr>
              <w:numPr>
                <w:ilvl w:val="0"/>
                <w:numId w:val="3"/>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考试管理，包含政治学习课程的考试、已经完成课程的考试管理；</w:t>
            </w:r>
          </w:p>
          <w:p>
            <w:pPr>
              <w:numPr>
                <w:ilvl w:val="0"/>
                <w:numId w:val="3"/>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资源管理，支持记录所有学习过课程的资料列表；</w:t>
            </w:r>
          </w:p>
          <w:p>
            <w:pPr>
              <w:numPr>
                <w:ilvl w:val="0"/>
                <w:numId w:val="3"/>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互动管理，学生在学习课程中的讨论、求租和解答记录；</w:t>
            </w:r>
          </w:p>
          <w:p>
            <w:pPr>
              <w:numPr>
                <w:ilvl w:val="0"/>
                <w:numId w:val="3"/>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学习进度，查询和记录学生在学习课程中的学习进度；</w:t>
            </w:r>
          </w:p>
          <w:p>
            <w:pPr>
              <w:numPr>
                <w:ilvl w:val="0"/>
                <w:numId w:val="3"/>
              </w:numPr>
              <w:spacing w:line="360" w:lineRule="auto"/>
              <w:ind w:left="451" w:hanging="420"/>
              <w:jc w:val="left"/>
              <w:rPr>
                <w:rFonts w:hint="eastAsia" w:ascii="宋体" w:hAnsi="宋体" w:eastAsia="宋体" w:cs="宋体"/>
                <w:sz w:val="24"/>
                <w:szCs w:val="24"/>
              </w:rPr>
            </w:pPr>
            <w:r>
              <w:rPr>
                <w:rFonts w:hint="eastAsia" w:ascii="宋体" w:hAnsi="宋体" w:eastAsia="宋体" w:cs="宋体"/>
                <w:sz w:val="24"/>
                <w:szCs w:val="24"/>
              </w:rPr>
              <w:t>★支持在线阅读相关</w:t>
            </w:r>
            <w:r>
              <w:rPr>
                <w:rFonts w:hint="eastAsia" w:ascii="宋体" w:hAnsi="宋体" w:eastAsia="宋体" w:cs="宋体"/>
                <w:sz w:val="24"/>
                <w:szCs w:val="24"/>
                <w:lang w:val="en-US" w:eastAsia="zh-CN"/>
              </w:rPr>
              <w:t>本校图书馆相关</w:t>
            </w:r>
            <w:r>
              <w:rPr>
                <w:rFonts w:hint="eastAsia" w:ascii="宋体" w:hAnsi="宋体" w:eastAsia="宋体" w:cs="宋体"/>
                <w:sz w:val="24"/>
                <w:szCs w:val="24"/>
              </w:rPr>
              <w:t>电子</w:t>
            </w:r>
            <w:r>
              <w:rPr>
                <w:rFonts w:hint="eastAsia" w:ascii="宋体" w:hAnsi="宋体" w:eastAsia="宋体" w:cs="宋体"/>
                <w:sz w:val="24"/>
                <w:szCs w:val="24"/>
                <w:lang w:val="en-US" w:eastAsia="zh-CN"/>
              </w:rPr>
              <w:t>图</w:t>
            </w:r>
            <w:r>
              <w:rPr>
                <w:rFonts w:hint="eastAsia" w:ascii="宋体" w:hAnsi="宋体" w:eastAsia="宋体" w:cs="宋体"/>
                <w:sz w:val="24"/>
                <w:szCs w:val="24"/>
              </w:rPr>
              <w:t>书</w:t>
            </w:r>
            <w:r>
              <w:rPr>
                <w:rFonts w:hint="eastAsia" w:ascii="宋体" w:hAnsi="宋体" w:eastAsia="宋体" w:cs="宋体"/>
                <w:sz w:val="24"/>
                <w:szCs w:val="24"/>
                <w:lang w:val="en-US" w:eastAsia="zh-CN"/>
              </w:rPr>
              <w:t>资源</w:t>
            </w:r>
            <w:r>
              <w:rPr>
                <w:rFonts w:hint="eastAsia" w:ascii="宋体" w:hAnsi="宋体" w:eastAsia="宋体" w:cs="宋体"/>
                <w:sz w:val="24"/>
                <w:szCs w:val="24"/>
              </w:rPr>
              <w:t xml:space="preserve">，同步记录学生的阅读进度，并将阅读计入到考核当中. </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6.平台服务于课程，需要对学生学习过程进行严格控制，防止视频拖拽，防止视频跳集，实现当前桌面监测，打开其他无关程序视频就会停止；</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7.平台资源支持云服务和本地部署两种模式；</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8.平台能实现学生学习过程管理，如：做作业、答疑、考试、讨论等；</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9.平台支持选课信息导入和选课学生信息导入；</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10.平台可实时监控学生学习进程和助教导学进程；</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11.平台支持本校助教老师管理功能；</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12.提供基于过程的形成性考核功能，可以对学生学习行为进行监控，并提供多种类型的评价策略，支持基于过程考核的学习效果评价；</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13.在线考核功能，对相应的学习内容组织在线考试，提供手动组卷和自动组卷方式，满足对学习者的考核需要；</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14.题库管理功能,可以建立题库，题库中应包括各种基本题型，包括客观题、主观题，支持自动及手动方式组卷；</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15.资源管理功能，对已有的各类学习资源进行管理、分类和检索，包括各种多媒体素材，如：图片、声音、动画、视频片段等，并支持对自建资源的组织和管理。</w:t>
            </w: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1套/1年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47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w:t>
            </w:r>
          </w:p>
        </w:tc>
        <w:tc>
          <w:tcPr>
            <w:tcW w:w="1588" w:type="dxa"/>
            <w:vAlign w:val="center"/>
          </w:tcPr>
          <w:p>
            <w:pPr>
              <w:spacing w:line="276" w:lineRule="auto"/>
              <w:jc w:val="center"/>
              <w:rPr>
                <w:rFonts w:hint="eastAsia" w:ascii="宋体" w:hAnsi="宋体" w:eastAsia="宋体" w:cs="宋体"/>
                <w:sz w:val="24"/>
                <w:szCs w:val="24"/>
              </w:rPr>
            </w:pPr>
            <w:r>
              <w:rPr>
                <w:rFonts w:hint="eastAsia" w:ascii="宋体" w:hAnsi="宋体" w:eastAsia="宋体" w:cs="宋体"/>
                <w:sz w:val="24"/>
                <w:szCs w:val="24"/>
              </w:rPr>
              <w:t>学习空间功能要求</w:t>
            </w:r>
          </w:p>
        </w:tc>
        <w:tc>
          <w:tcPr>
            <w:tcW w:w="6950" w:type="dxa"/>
            <w:vAlign w:val="center"/>
          </w:tcPr>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1.为每个教师与学生提供一个个性化学习空间。</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2.学习空间可集成各种个性化信息与应用，需提供APP接口，学校或第三方可以开放一些应用，放到应用中心，学生和老师可以将其添加到自己的学习空间中。</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3.学习空间应具备以下功能或应用：日程管理、课程管理、PBL教学、资源专题、学习笔记、报刊订阅、个人云盘、小组交流等。</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4.学习空间需展现学生已经选学的全部课程或教师开设的全部课程。</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★5.支持手机直播功能，学生可以通过移动端参加网络课程在线直播，并且可以在观看直播的同时，参与教学互动。</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6.支持在线完成作业、讨论、答疑、考试等操作。</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★7.支持混合式教学，支持课堂互动，支持发布签到、抢答、选答、问卷、统计等课堂教学工具。</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8.包含个人移动学习评价系统，根据使用量、笔记量、订阅量、阅读量等进行排名、评级，从而激励学习行为。</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9.实现订阅相关课程视频，不少于100个订阅源 如科技，教育，文史等。</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10.支持用户基于学习进行社交，支持学习动态分享，支持跨校交流，支持用户自由组建基于学习或兴趣的小组或社区。</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11.支持学习笔记管理、编辑、分享，支持笔记文件夹共享，支持相互评论和转发。</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12.支持富媒体资源专题在线制作和订阅。</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★13.支持</w:t>
            </w:r>
            <w:r>
              <w:rPr>
                <w:rFonts w:hint="eastAsia" w:ascii="宋体" w:hAnsi="宋体" w:eastAsia="宋体" w:cs="宋体"/>
                <w:sz w:val="24"/>
                <w:szCs w:val="24"/>
                <w:lang w:val="en-US" w:eastAsia="zh-CN"/>
              </w:rPr>
              <w:t>与本校图书馆实现</w:t>
            </w:r>
            <w:r>
              <w:rPr>
                <w:rFonts w:hint="eastAsia" w:ascii="宋体" w:hAnsi="宋体" w:eastAsia="宋体" w:cs="宋体"/>
                <w:sz w:val="24"/>
                <w:szCs w:val="24"/>
              </w:rPr>
              <w:t>文献查询功能的对接，方便学习过程中引用查询本校图书馆图书、论文、期刊、专题等拓展读物和知识点的拓展阅读，形成资源的多次利用。（为保障知识传播版权问题，供应商必须提供论文相似度分析软件系统大雅的开发端口厂商的授权许可，解决知识版权问题，确保无技术及相关版权冲突问题）。</w:t>
            </w: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1套/1年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trPr>
        <w:tc>
          <w:tcPr>
            <w:tcW w:w="47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w:t>
            </w:r>
          </w:p>
        </w:tc>
        <w:tc>
          <w:tcPr>
            <w:tcW w:w="1588" w:type="dxa"/>
            <w:vAlign w:val="center"/>
          </w:tcPr>
          <w:p>
            <w:pPr>
              <w:spacing w:line="276" w:lineRule="auto"/>
              <w:jc w:val="center"/>
              <w:rPr>
                <w:rFonts w:hint="eastAsia" w:ascii="宋体" w:hAnsi="宋体" w:eastAsia="宋体" w:cs="宋体"/>
                <w:sz w:val="24"/>
                <w:szCs w:val="24"/>
              </w:rPr>
            </w:pPr>
            <w:r>
              <w:rPr>
                <w:rFonts w:hint="eastAsia" w:ascii="宋体" w:hAnsi="宋体" w:eastAsia="宋体" w:cs="宋体"/>
                <w:sz w:val="24"/>
                <w:szCs w:val="24"/>
              </w:rPr>
              <w:t>课程运行服务要求</w:t>
            </w:r>
          </w:p>
        </w:tc>
        <w:tc>
          <w:tcPr>
            <w:tcW w:w="6950" w:type="dxa"/>
            <w:vAlign w:val="center"/>
          </w:tcPr>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1.具备100</w:t>
            </w:r>
            <w:r>
              <w:rPr>
                <w:rFonts w:hint="eastAsia" w:ascii="宋体" w:hAnsi="宋体" w:eastAsia="宋体" w:cs="宋体"/>
                <w:sz w:val="24"/>
                <w:szCs w:val="24"/>
                <w:lang w:val="en-US" w:eastAsia="zh-CN"/>
              </w:rPr>
              <w:t>0</w:t>
            </w:r>
            <w:r>
              <w:rPr>
                <w:rFonts w:hint="eastAsia" w:ascii="宋体" w:hAnsi="宋体" w:eastAsia="宋体" w:cs="宋体"/>
                <w:sz w:val="24"/>
                <w:szCs w:val="24"/>
              </w:rPr>
              <w:t>万学生在线学习的运营服务能力；</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2.视频访问提供校园网与公网切换服务：平台远程访问、视频数据本地安装、公网访问；</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3.支持iOS和安卓两个平台，支持手机和平板电脑等设备，实现在线移动学习、讨论、答疑、交互等功能。移动端与PC端学习进度、学习数据保持同步，教师可以对课程和学生进行统一管理。</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4.开课/结课的所有对接服务：学生信息、学习成绩及学分的导入/导出服务；</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5.提供学生学习进度监控、课程访问统计分析、学习诚信监控，可根据学校需求随时提供教学运行数据和不诚信学习名单</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6.在线客服解决学生、管理员、辅导老师使用问题；学生学习的导学、督学（短信、电话、邮件）服务；</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7.平台监控、系统维护服务；</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8.学习进程中对学习情况进行问卷调查分析，了解学生感受和意见服务；</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9.辅导教师工作情况、工作量监控分析；</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10.平台以及课程资源必须注意整体的安全稳定性，必须确保在大并发访问量下的稳定可靠，平台具备二级以上（含二级）安全等级测评报告和证书。具备系统运行监控和数据备份的有效策略和机制，必须具备5年安全运行历史。</w:t>
            </w: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1套/1年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7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w:t>
            </w:r>
          </w:p>
        </w:tc>
        <w:tc>
          <w:tcPr>
            <w:tcW w:w="1588" w:type="dxa"/>
            <w:vAlign w:val="center"/>
          </w:tcPr>
          <w:p>
            <w:pPr>
              <w:spacing w:line="276" w:lineRule="auto"/>
              <w:jc w:val="center"/>
              <w:rPr>
                <w:rFonts w:hint="eastAsia" w:ascii="宋体" w:hAnsi="宋体" w:eastAsia="宋体" w:cs="宋体"/>
                <w:sz w:val="24"/>
                <w:szCs w:val="24"/>
              </w:rPr>
            </w:pPr>
            <w:r>
              <w:rPr>
                <w:rFonts w:hint="eastAsia" w:ascii="宋体" w:hAnsi="宋体" w:eastAsia="宋体" w:cs="宋体"/>
                <w:sz w:val="24"/>
                <w:szCs w:val="24"/>
              </w:rPr>
              <w:t>课程移动学习平台</w:t>
            </w:r>
          </w:p>
        </w:tc>
        <w:tc>
          <w:tcPr>
            <w:tcW w:w="6950" w:type="dxa"/>
            <w:vAlign w:val="center"/>
          </w:tcPr>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1、移动课堂互动</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（1）移动教案</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按照教学计划，教师可提前在移动学习系统上组织教学内容，有序安排资料推送、签到、问答、抢答、投票等教学活动.</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 xml:space="preserve"> （2）课堂签到</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 xml:space="preserve">教师在移动端发布课堂签到，学生直接用手机通过扫描课堂大屏的二维码、或输入教师分享的邀请码等方式进行签到。 </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（3）问题抢答</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教师可以在课堂上发布问题抢答进行提问，学生同时在移动端收到抢答提问，学生进行迅速抢答。抢答标题可以拍照上传。</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（4）随机选人</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教师发布随机选人，移动课堂互动系统会自动在已经签到的学生中随机选择学生。</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（5）课堂投票</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教师可以在课堂上实时发布调查问卷，学生通过移动端进行投票。教师端可以立即统计投票结果。投票标题可支持拍照上传。</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（6）多屏互动</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教师在任何教学环节都可以将自己手机的屏幕内容投射到大屏幕上，向学生进行展示。</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（7）课堂报告</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可以将所有课堂上的师生互动内容记录下来，生成课堂报告，具有强大的数据统计分析功能.</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（8）交流互动</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师生互动界面，师生可以进行及时交流和各种课堂互动。可以支持文字、语音聊天，还可以插入图片、拍照、笔记、主题讨论、投票、问答、收藏等内容。</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（9）互动问答</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教师可以在课堂上发布问答，进行编辑问答后发布到学生端，学生可以回答问题并提交，教师可以实时查看学生提交结果。提干可以支持拍照上传功能。</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（10）互动讨论</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在课堂上学生可以任意组合展开小组讨论。</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（11）资料推送</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教师在课前和课堂上可以选择和自己课程相关的价值资料进行资料推送，推送完成后再课程和互动窗口学生和教师都可以查看资料的详细内容。</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（12）学生管理</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一门课程可以创建多个班级，老师可以主动添加学生，也可以生成班级的邀请码和二维码，学生通过输入邀请码或扫描二维码方式加入，邀请码和二维码可以设定有效期。</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★2、移动阅读系统</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（1）海量资源</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提供海量电子图书、报纸、期刊、专题等阅读资源。包含200万册以上电子书、4000千种以上期刊、500种以上全国各地报纸等资源。所有资源需提供相关的著作权授权，没有任何的版权问题。</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（2）内容订阅</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教师、学生可以将所有感兴趣的内容订阅到自己的空间，并进行分类管理。</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（3）资源推送</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可以将任何一个资源，甚至资源中的某一章节推送到一门课程中，让学生进行学习。</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（4）内容分享</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可以对所有精彩的内容与好友、同学进行分享，从而实现社交式的阅读。</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（5）专题</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可以围绕某一个主题或知识创建专题，并对外发布，其他人可以进行订阅。</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3、移动修学分系统</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（1）学习监控</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对学的视频观看，提供很多监控措施，如视频的防拖拽防跳集及防窗口切换功能。</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（2）闯关学习</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视频：</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学生视频学习时，系统自动记录学习行为，完成视频学习任务点后系统自动同步学习记录与PC端相同。同时将视频学习成绩计算后加入综合成绩中。</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作业：</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学生通过作业功能可以是查看作业列表，作业列表支持标示待做作业和已完成、已过期作业展示。学生可以通过本功能支持待做作业在移动端完成。支持查看已完成作业的批阅状态和最后得分，支持查看作业答案。</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讨论：</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学生可以从本功能实现建立自己发表的话题，也可以回复他人的话题。回复话题是指学生能回复学生的话题，也能跟帖教师发表的话题。话题都可以支持多次交互回复。</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（3）在线互动</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 xml:space="preserve">学生可以通过移动学习系统查看老师、管理员发个自己的通知、调查问卷、问答、讨论话题等消息信息。而且所有消息都支持有是否阅读标示。 </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同时支持模糊搜索通知的功能。</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（4）在线考试</w:t>
            </w:r>
          </w:p>
          <w:p>
            <w:pPr>
              <w:spacing w:line="360" w:lineRule="auto"/>
              <w:ind w:firstLine="36" w:firstLineChars="15"/>
              <w:rPr>
                <w:rFonts w:hint="eastAsia" w:ascii="宋体" w:hAnsi="宋体" w:eastAsia="宋体" w:cs="宋体"/>
                <w:sz w:val="24"/>
                <w:szCs w:val="24"/>
              </w:rPr>
            </w:pPr>
            <w:r>
              <w:rPr>
                <w:rFonts w:hint="eastAsia" w:ascii="宋体" w:hAnsi="宋体" w:eastAsia="宋体" w:cs="宋体"/>
                <w:sz w:val="24"/>
                <w:szCs w:val="24"/>
              </w:rPr>
              <w:t>教师可以在课程中发布考试试卷和查看考试分项统计结果，学生同样可以通过客户端进行在线考试和查看考试信息。</w:t>
            </w: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1套/1年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477" w:type="dxa"/>
            <w:vAlign w:val="center"/>
          </w:tcPr>
          <w:p>
            <w:pPr>
              <w:widowControl w:val="0"/>
              <w:autoSpaceDE w:val="0"/>
              <w:autoSpaceDN w:val="0"/>
              <w:adjustRightInd w:val="0"/>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w:t>
            </w:r>
          </w:p>
        </w:tc>
        <w:tc>
          <w:tcPr>
            <w:tcW w:w="1588" w:type="dxa"/>
            <w:vAlign w:val="center"/>
          </w:tcPr>
          <w:p>
            <w:pPr>
              <w:spacing w:line="276"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实验室安全教育课程</w:t>
            </w:r>
          </w:p>
        </w:tc>
        <w:tc>
          <w:tcPr>
            <w:tcW w:w="6950" w:type="dxa"/>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实验室准入教育课程，具有多学科交叉性和较强的应用性等特点。一方面，实验室安全具有共同的培训内容，如个人防护、应急处理、等；另一方面，实验室安全涉及多学科、多专业，等各个行业。从高校实际需求出发，实验室安全课程体系根据“1+X+Y”理念建设。</w:t>
            </w:r>
          </w:p>
          <w:p>
            <w:pPr>
              <w:spacing w:line="360" w:lineRule="auto"/>
              <w:rPr>
                <w:rFonts w:hint="eastAsia" w:ascii="宋体" w:hAnsi="宋体" w:eastAsia="宋体" w:cs="宋体"/>
                <w:sz w:val="24"/>
                <w:szCs w:val="24"/>
              </w:rPr>
            </w:pPr>
            <w:r>
              <w:rPr>
                <w:rFonts w:hint="eastAsia" w:ascii="宋体" w:hAnsi="宋体" w:eastAsia="宋体" w:cs="宋体"/>
                <w:sz w:val="24"/>
                <w:szCs w:val="24"/>
              </w:rPr>
              <w:t>“1”：通用的实验室安全知识，不区分学科，建立的具有普适价值、基础、系统的安全规范知识；</w:t>
            </w:r>
          </w:p>
          <w:p>
            <w:pPr>
              <w:spacing w:line="360" w:lineRule="auto"/>
              <w:rPr>
                <w:rFonts w:hint="eastAsia" w:ascii="宋体" w:hAnsi="宋体" w:eastAsia="宋体" w:cs="宋体"/>
                <w:sz w:val="24"/>
                <w:szCs w:val="24"/>
              </w:rPr>
            </w:pPr>
            <w:r>
              <w:rPr>
                <w:rFonts w:hint="eastAsia" w:ascii="宋体" w:hAnsi="宋体" w:eastAsia="宋体" w:cs="宋体"/>
                <w:sz w:val="24"/>
                <w:szCs w:val="24"/>
              </w:rPr>
              <w:t>“X”：针对特定学科的实验室安全问题，建设特定的安全知识内容。如化学气瓶的管理和使用、生物实验感染性职业暴露后的处理。学校在选用平台课程内容时候，可以根据专业方向和办学特色，选定医学、生物、化学、电气等特定实验室危险要素安全内容；</w:t>
            </w:r>
          </w:p>
          <w:p>
            <w:pPr>
              <w:spacing w:line="360" w:lineRule="auto"/>
              <w:rPr>
                <w:rFonts w:hint="eastAsia" w:ascii="宋体" w:hAnsi="宋体" w:eastAsia="宋体" w:cs="宋体"/>
                <w:sz w:val="24"/>
                <w:szCs w:val="24"/>
              </w:rPr>
            </w:pPr>
            <w:r>
              <w:rPr>
                <w:rFonts w:hint="eastAsia" w:ascii="宋体" w:hAnsi="宋体" w:eastAsia="宋体" w:cs="宋体"/>
                <w:sz w:val="24"/>
                <w:szCs w:val="24"/>
              </w:rPr>
              <w:t>“Y”：扩展学校校本的特色实验教学，强调平台建设的开放性，深度整合校本资源、实验室资源，有效支持个性化教学。</w:t>
            </w: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1套/1年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477" w:type="dxa"/>
            <w:vAlign w:val="center"/>
          </w:tcPr>
          <w:p>
            <w:pPr>
              <w:widowControl w:val="0"/>
              <w:autoSpaceDE w:val="0"/>
              <w:autoSpaceDN w:val="0"/>
              <w:adjustRightInd w:val="0"/>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w:t>
            </w:r>
          </w:p>
        </w:tc>
        <w:tc>
          <w:tcPr>
            <w:tcW w:w="1588" w:type="dxa"/>
            <w:vAlign w:val="center"/>
          </w:tcPr>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大赛服务平台</w:t>
            </w:r>
          </w:p>
        </w:tc>
        <w:tc>
          <w:tcPr>
            <w:tcW w:w="6950" w:type="dxa"/>
            <w:vAlign w:val="center"/>
          </w:tcPr>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（1）创建大赛发布大赛，点击“发布首届全国高校教师教学创新大赛—校赛”按钮，创建新的校赛。（如无需同步省赛，仅校内参赛也可以选择直接发布大赛）。</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（2）编辑大赛内容</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大赛名称、大赛平台应用模板、大赛期次、标题，还有大赛独立的域名</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（3）大赛基本设置</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大赛报名和比赛时间、大赛分数和评分指标（作品评分指标在此进行设置）、大赛封面、引言（口号、目的）</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（4）大赛功能设置</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申报材料设置</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校赛默认全部复用国赛内容——如需定制可以联系超星工作人员，但定制后大赛无法对接省赛及国赛。需要参赛教师去国赛平台进行二次材料提交.</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人员管理；</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分为两方面：参赛人员管理和评审专家管理</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参赛人员管理：参赛教师报名大赛后，在管理后台可查看参赛人员情况，可进行删除和导出基本信息。</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（8）评审管理</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此处为每个大赛设置专家评委、专家组、指派专家评审作品的管理，每场大赛都需要设置评审专家，并指定作品。</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（9）作品管理</w:t>
            </w:r>
          </w:p>
          <w:p>
            <w:p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根据大赛进行作品管理，可进行作品下载、专家评审详情导出、互评详情导出、校赛材料下载（由于材料较多下载速度可能较慢。如有需求请点击后进行等待）</w:t>
            </w:r>
          </w:p>
          <w:p>
            <w:pPr>
              <w:spacing w:line="360" w:lineRule="auto"/>
              <w:rPr>
                <w:rFonts w:hint="eastAsia" w:ascii="宋体" w:hAnsi="宋体" w:eastAsia="宋体" w:cs="宋体"/>
                <w:color w:val="auto"/>
                <w:kern w:val="0"/>
                <w:sz w:val="24"/>
                <w:szCs w:val="24"/>
              </w:rPr>
            </w:pP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ascii="宋体" w:hAnsi="宋体" w:eastAsia="宋体" w:cs="宋体"/>
                <w:kern w:val="0"/>
                <w:sz w:val="24"/>
                <w:szCs w:val="24"/>
                <w:lang w:val="en-US" w:eastAsia="zh-CN" w:bidi="ar-SA"/>
              </w:rPr>
              <w:t>1</w:t>
            </w:r>
            <w:r>
              <w:rPr>
                <w:rFonts w:hint="eastAsia" w:ascii="宋体" w:hAnsi="宋体" w:eastAsia="宋体" w:cs="宋体"/>
                <w:kern w:val="0"/>
                <w:sz w:val="24"/>
                <w:szCs w:val="24"/>
                <w:lang w:val="en-US" w:eastAsia="zh-CN" w:bidi="ar-SA"/>
              </w:rPr>
              <w:t>套</w:t>
            </w:r>
            <w:r>
              <w:rPr>
                <w:rFonts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6" w:hRule="atLeast"/>
        </w:trPr>
        <w:tc>
          <w:tcPr>
            <w:tcW w:w="477" w:type="dxa"/>
            <w:vAlign w:val="center"/>
          </w:tcPr>
          <w:p>
            <w:pPr>
              <w:widowControl w:val="0"/>
              <w:autoSpaceDE w:val="0"/>
              <w:autoSpaceDN w:val="0"/>
              <w:adjustRightInd w:val="0"/>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w:t>
            </w:r>
          </w:p>
        </w:tc>
        <w:tc>
          <w:tcPr>
            <w:tcW w:w="1588" w:type="dxa"/>
            <w:vAlign w:val="center"/>
          </w:tcPr>
          <w:p>
            <w:pPr>
              <w:spacing w:line="276"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通识素养能力测评</w:t>
            </w:r>
          </w:p>
        </w:tc>
        <w:tc>
          <w:tcPr>
            <w:tcW w:w="6950" w:type="dxa"/>
            <w:vAlign w:val="center"/>
          </w:tcPr>
          <w:p>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测评需具备以下门类：</w:t>
            </w:r>
          </w:p>
          <w:p>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国学基础：以经典国学作品为基础，综合考察中国传统国学相关知识。主要包括中国古代哲学思想解读、古代经典作品内容与分析、古代礼仪与文明实际应用等内容。</w:t>
            </w:r>
          </w:p>
          <w:p>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科学技术：全方位剖析科学发展的历史及其精神内涵。考核数学、物理、化学、生物等领域的基础理论，以及神经、认知、材料、计算机、互联网等领域的最新进展情况。</w:t>
            </w:r>
          </w:p>
          <w:p>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lang w:eastAsia="zh-CN"/>
              </w:rPr>
              <w:t>社会</w:t>
            </w:r>
            <w:r>
              <w:rPr>
                <w:rFonts w:hint="eastAsia" w:ascii="宋体" w:hAnsi="宋体" w:eastAsia="宋体" w:cs="宋体"/>
                <w:color w:val="auto"/>
                <w:kern w:val="0"/>
                <w:sz w:val="24"/>
                <w:szCs w:val="24"/>
              </w:rPr>
              <w:t>管理：揭示经济活动的一般规律，不仅仅关注经济活动的一般表象，更能够深入考察经济活动背后的理论与实际运作。同时兼顾社会管理领域，解读管理活动的理论与内涵。</w:t>
            </w:r>
          </w:p>
          <w:p>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人类思想：探索人类信仰、法理、哲学等思想的发展历程及其产生的重大影响，能够从本质上揭示各种思想的异同。同时能够联结中西思想领域，以宏观视野对思想进行对比。</w:t>
            </w:r>
          </w:p>
          <w:p>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文学艺术：对人类自古至今的文学与艺术进行全面而适当的考核。兼顾中西、古今等多个视角，囊括文学、音乐、绘画、建筑、雕塑、摄影等各个相关领域的主要作品、大师、事件。</w:t>
            </w:r>
          </w:p>
          <w:p>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历史</w:t>
            </w:r>
            <w:r>
              <w:rPr>
                <w:rFonts w:hint="eastAsia" w:ascii="宋体" w:hAnsi="宋体" w:eastAsia="宋体" w:cs="宋体"/>
                <w:color w:val="auto"/>
                <w:kern w:val="0"/>
                <w:sz w:val="24"/>
                <w:szCs w:val="24"/>
                <w:lang w:eastAsia="zh-CN"/>
              </w:rPr>
              <w:t>文明</w:t>
            </w:r>
            <w:r>
              <w:rPr>
                <w:rFonts w:hint="eastAsia" w:ascii="宋体" w:hAnsi="宋体" w:eastAsia="宋体" w:cs="宋体"/>
                <w:color w:val="auto"/>
                <w:kern w:val="0"/>
                <w:sz w:val="24"/>
                <w:szCs w:val="24"/>
              </w:rPr>
              <w:t>：多维度展现世界各种文化的兴起与衰亡，剖析人类历史进程的关键转折点，发掘个人、组织、事件、环境等各个要素对整个人类文明演变产生的深远影响。</w:t>
            </w:r>
          </w:p>
          <w:p>
            <w:pPr>
              <w:spacing w:line="360"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测评题目内容需要涵盖上述所有测评内容门类。单次测评题目数量不少于60道，测评总时长不少于</w:t>
            </w:r>
            <w:r>
              <w:rPr>
                <w:rFonts w:hint="eastAsia" w:ascii="宋体" w:hAnsi="宋体" w:eastAsia="宋体" w:cs="宋体"/>
                <w:color w:val="auto"/>
                <w:kern w:val="0"/>
                <w:sz w:val="24"/>
                <w:szCs w:val="24"/>
                <w:lang w:val="en-US" w:eastAsia="zh-CN"/>
              </w:rPr>
              <w:t>14</w:t>
            </w:r>
            <w:r>
              <w:rPr>
                <w:rFonts w:hint="eastAsia" w:ascii="宋体" w:hAnsi="宋体" w:eastAsia="宋体" w:cs="宋体"/>
                <w:color w:val="auto"/>
                <w:kern w:val="0"/>
                <w:sz w:val="24"/>
                <w:szCs w:val="24"/>
              </w:rPr>
              <w:t>分钟。题库包含题目总量不少于</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00道。其中测评体系中各门类不少于</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0道。</w:t>
            </w:r>
          </w:p>
          <w:p>
            <w:pPr>
              <w:widowControl w:val="0"/>
              <w:spacing w:before="86" w:line="360" w:lineRule="auto"/>
              <w:ind w:left="0" w:leftChars="0" w:firstLine="0" w:firstLineChars="0"/>
              <w:jc w:val="left"/>
              <w:rPr>
                <w:rFonts w:hint="eastAsia" w:ascii="宋体" w:hAnsi="宋体" w:eastAsia="宋体" w:cs="宋体"/>
                <w:color w:val="auto"/>
                <w:kern w:val="0"/>
                <w:sz w:val="24"/>
                <w:szCs w:val="24"/>
                <w:lang w:val="en-US" w:eastAsia="en-US" w:bidi="ar-SA"/>
              </w:rPr>
            </w:pPr>
            <w:r>
              <w:rPr>
                <w:rFonts w:hint="eastAsia" w:ascii="宋体" w:hAnsi="宋体" w:eastAsia="宋体" w:cs="宋体"/>
                <w:color w:val="auto"/>
                <w:kern w:val="0"/>
                <w:sz w:val="24"/>
                <w:szCs w:val="24"/>
                <w:lang w:val="en-US" w:eastAsia="zh-CN" w:bidi="ar-SA"/>
              </w:rPr>
              <w:t>8.</w:t>
            </w:r>
            <w:r>
              <w:rPr>
                <w:rFonts w:hint="eastAsia" w:ascii="宋体" w:hAnsi="宋体" w:eastAsia="宋体" w:cs="宋体"/>
                <w:color w:val="auto"/>
                <w:kern w:val="0"/>
                <w:sz w:val="24"/>
                <w:szCs w:val="24"/>
                <w:lang w:val="en-US" w:eastAsia="en-US" w:bidi="ar-SA"/>
              </w:rPr>
              <w:t>每道题目必须包含题目答案解析，能够明确解释题目考核相关知识点。测评需要包括文字题、图片题及音频题三类。测评题目需要有完整的测评知识点体系作为依据。知识点体系至少包括三个层级，对知识点表述清晰、准确、全面。测评完成后，需要提供详细的学生报告。报告中需要包括测评体系六大门</w:t>
            </w:r>
            <w:r>
              <w:rPr>
                <w:rFonts w:hint="eastAsia" w:ascii="宋体" w:hAnsi="宋体" w:eastAsia="宋体" w:cs="宋体"/>
                <w:color w:val="auto"/>
                <w:kern w:val="0"/>
                <w:sz w:val="24"/>
                <w:szCs w:val="24"/>
                <w:lang w:val="en-US" w:eastAsia="zh-CN" w:bidi="ar-SA"/>
              </w:rPr>
              <w:t xml:space="preserve"> </w:t>
            </w:r>
            <w:r>
              <w:rPr>
                <w:rFonts w:hint="eastAsia" w:ascii="宋体" w:hAnsi="宋体" w:eastAsia="宋体" w:cs="宋体"/>
                <w:color w:val="auto"/>
                <w:kern w:val="0"/>
                <w:sz w:val="24"/>
                <w:szCs w:val="24"/>
                <w:lang w:val="en-US" w:eastAsia="en-US" w:bidi="ar-SA"/>
              </w:rPr>
              <w:t>类的详细分数、成绩评价、全国对比情况，要能够回看学生历次测评结果。</w:t>
            </w:r>
          </w:p>
          <w:p>
            <w:pPr>
              <w:numPr>
                <w:ilvl w:val="0"/>
                <w:numId w:val="0"/>
              </w:numPr>
              <w:spacing w:line="360" w:lineRule="auto"/>
              <w:ind w:leftChars="0"/>
              <w:rPr>
                <w:rFonts w:hint="eastAsia" w:ascii="宋体" w:hAnsi="宋体" w:eastAsia="宋体" w:cs="宋体"/>
                <w:sz w:val="24"/>
                <w:szCs w:val="24"/>
              </w:rPr>
            </w:pP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测评完成后，需要提供详细的学校层面的统计报告。具体内容包括本校的整体情况，分专业、年级、性别、生源地分析学校测评情况以及全国对比</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数据。测评完成后，必须能够推荐相关学习资料，帮助学生提高通识素养能力。要求推荐不少于6门相关课程及10本相关图书。</w:t>
            </w:r>
          </w:p>
        </w:tc>
        <w:tc>
          <w:tcPr>
            <w:tcW w:w="947" w:type="dxa"/>
            <w:vAlign w:val="center"/>
          </w:tcPr>
          <w:p>
            <w:pPr>
              <w:widowControl w:val="0"/>
              <w:autoSpaceDE w:val="0"/>
              <w:autoSpaceDN w:val="0"/>
              <w:adjustRightInd w:val="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1套/1年</w:t>
            </w:r>
          </w:p>
        </w:tc>
      </w:tr>
    </w:tbl>
    <w:p>
      <w:pPr>
        <w:keepNext/>
        <w:keepLines/>
        <w:ind w:left="218" w:leftChars="-169" w:hanging="573" w:hangingChars="204"/>
        <w:outlineLvl w:val="1"/>
        <w:rPr>
          <w:rFonts w:ascii="Calibri" w:hAnsi="Calibri" w:eastAsia="宋体" w:cs="Times New Roman"/>
          <w:b/>
          <w:bCs/>
          <w:sz w:val="24"/>
          <w:szCs w:val="24"/>
        </w:rPr>
      </w:pPr>
      <w:r>
        <w:rPr>
          <w:rFonts w:ascii="Calibri" w:hAnsi="Calibri" w:eastAsia="宋体" w:cs="Times New Roman"/>
          <w:b/>
          <w:bCs/>
          <w:sz w:val="28"/>
          <w:szCs w:val="28"/>
        </w:rPr>
        <w:t xml:space="preserve">  </w:t>
      </w:r>
      <w:r>
        <w:rPr>
          <w:rFonts w:ascii="Calibri" w:hAnsi="Calibri" w:eastAsia="宋体" w:cs="Times New Roman"/>
          <w:b/>
          <w:bCs/>
          <w:sz w:val="24"/>
          <w:szCs w:val="24"/>
        </w:rPr>
        <w:t xml:space="preserve"> </w:t>
      </w:r>
    </w:p>
    <w:p>
      <w:pPr>
        <w:numPr>
          <w:ilvl w:val="0"/>
          <w:numId w:val="4"/>
        </w:numPr>
        <w:jc w:val="left"/>
        <w:rPr>
          <w:rFonts w:hint="eastAsia" w:ascii="Calibri" w:hAnsi="Calibri" w:eastAsia="宋体" w:cs="Times New Roman"/>
          <w:b/>
          <w:sz w:val="28"/>
          <w:szCs w:val="28"/>
        </w:rPr>
      </w:pPr>
      <w:r>
        <w:rPr>
          <w:rFonts w:hint="eastAsia" w:ascii="Calibri" w:hAnsi="Calibri" w:eastAsia="宋体" w:cs="Times New Roman"/>
          <w:b/>
          <w:sz w:val="28"/>
          <w:szCs w:val="28"/>
        </w:rPr>
        <w:t>通识课课程数量要求</w:t>
      </w:r>
    </w:p>
    <w:tbl>
      <w:tblPr>
        <w:tblStyle w:val="34"/>
        <w:tblW w:w="105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6"/>
        <w:gridCol w:w="1648"/>
        <w:gridCol w:w="1569"/>
        <w:gridCol w:w="2417"/>
        <w:gridCol w:w="961"/>
        <w:gridCol w:w="1056"/>
        <w:gridCol w:w="1192"/>
        <w:gridCol w:w="1"/>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576" w:hRule="atLeast"/>
        </w:trPr>
        <w:tc>
          <w:tcPr>
            <w:tcW w:w="10507" w:type="dxa"/>
            <w:gridSpan w:val="9"/>
            <w:shd w:val="clear" w:color="auto" w:fill="70AD47"/>
            <w:vAlign w:val="center"/>
          </w:tcPr>
          <w:p>
            <w:pPr>
              <w:keepNext w:val="0"/>
              <w:keepLines w:val="0"/>
              <w:widowControl/>
              <w:suppressLineNumbers w:val="0"/>
              <w:jc w:val="center"/>
              <w:textAlignment w:val="center"/>
              <w:rPr>
                <w:rFonts w:ascii="华文细黑" w:hAnsi="华文细黑" w:eastAsia="华文细黑" w:cs="华文细黑"/>
                <w:b/>
                <w:bCs/>
                <w:i w:val="0"/>
                <w:iCs w:val="0"/>
                <w:color w:val="000000"/>
                <w:sz w:val="40"/>
                <w:szCs w:val="40"/>
                <w:u w:val="none"/>
              </w:rPr>
            </w:pPr>
            <w:r>
              <w:rPr>
                <w:rFonts w:hint="default" w:ascii="华文细黑" w:hAnsi="华文细黑" w:eastAsia="华文细黑" w:cs="华文细黑"/>
                <w:b/>
                <w:bCs/>
                <w:i w:val="0"/>
                <w:iCs w:val="0"/>
                <w:color w:val="000000"/>
                <w:kern w:val="0"/>
                <w:sz w:val="40"/>
                <w:szCs w:val="40"/>
                <w:u w:val="none"/>
                <w:lang w:val="en-US" w:eastAsia="zh-CN" w:bidi="ar"/>
              </w:rPr>
              <w:t>2026年秋季学期选课建议清单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7" w:type="dxa"/>
            <w:gridSpan w:val="9"/>
            <w:shd w:val="clear" w:color="auto" w:fill="8EA9DB"/>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32"/>
                <w:szCs w:val="32"/>
                <w:u w:val="none"/>
              </w:rPr>
            </w:pPr>
            <w:r>
              <w:rPr>
                <w:rFonts w:hint="default" w:ascii="华文细黑" w:hAnsi="华文细黑" w:eastAsia="华文细黑" w:cs="华文细黑"/>
                <w:b/>
                <w:bCs/>
                <w:color w:val="000000"/>
                <w:sz w:val="32"/>
                <w:szCs w:val="32"/>
                <w:u w:val="none"/>
                <w:lang w:val="en-US" w:eastAsia="zh-CN" w:bidi="ar"/>
              </w:rPr>
              <w:t>【公共基础必修类】（26门）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习近平新时代中国特色社会主义思想概论（西安交通大学版）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陈建兵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领袖智慧：大学生学习习近平</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刘建平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党的创新理论十二讲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刘晓勇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宝鸡文理学院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习近平经济思想概论</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丁晓钦 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上海财经大学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形势与政策（2026年秋）</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石磊 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0.5</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习近平外交思想</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罗英杰</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国际关系学院</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曹玮</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国际关系学院</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丑则静</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国际关系学院</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中华民族共同体概论</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李晓斌</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云南大学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龙晓燕</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云南大学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谷跃娟</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云南大学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朱映占</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云南大学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赵永忠</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云南大学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刘彦</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云南大学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全面依法治国背景下的宪法</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陶元峰</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兰州文理学院</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何惠芳</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兰州文理学院</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胡雪梅</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兰州文理学院</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中国特色的生态文明理论与实践</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陈双</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湖北大学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刘远新</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李娟</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生态文明与绿色发展</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葛飞</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刘兴旺</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刘云</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李峰</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田凯勋</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黄妍</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杨基成</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汪形艳</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习近平新时代中国特色社会主义思想概论（天津大学版）</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颜晓峰 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35</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王军旗</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刘娜</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张宇</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柳兰芳</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王晓霞</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李瑞婷</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徐菁忆</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李非凡</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刘博</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从古至今话廉洁——大学生廉洁素养教育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付秀荣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黄丽娜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王晓明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吴留戈</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王冬云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军事理论（中北大学版）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尹建平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宪法与法律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王理万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中国政法大学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习近平总书记关于教育的重要论述研究</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陈金龙</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华南师范大学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李盛兵</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刘志文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柴少明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习近平总书记关于教育的重要论述研究（安庆师范大学版）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许继荣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闵永新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罗本琦</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金文斌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吴云助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潘锦云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王翠萍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许世平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方玉芬</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陈效飞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安庆师范大学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科研方法及应用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张伟刚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谢朝</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李玉栋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王维华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范飞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孙陆</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大学生心理健康教育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胡佩诚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乔志宏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侯瑞鹤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中央财经大学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格桑泽仁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王英梅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费俊峰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大学生心理健康与发展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尹冬梅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侯晓远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陈树林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马迎辉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孔燕</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中国科学技术大学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张效初</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中国科学技术大学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翁清雄</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中国科学技术大学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刘明波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熊浩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高隽</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杨文圣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费俊峰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祝一虹</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朱臻雯</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汪国琴</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谈文娟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大学生军事技能训练</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张国清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军事理论（同济大学版）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张国清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军事理论（上海财经大学版）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薛高连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上海财经大学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大学生心理健康教育（河南经贸职业学院版）</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成光琳 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河南经贸职业学院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大学生心理健康教育（中南大学版）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叶湘虹等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大学生心理健康教育（兰州大学版）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李雄鹰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大学体育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唐炎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上海体育学院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7" w:type="dxa"/>
            <w:gridSpan w:val="9"/>
            <w:shd w:val="clear" w:color="auto" w:fill="8EA9DB"/>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32"/>
                <w:szCs w:val="32"/>
                <w:u w:val="none"/>
              </w:rPr>
            </w:pPr>
            <w:r>
              <w:rPr>
                <w:rFonts w:hint="default" w:ascii="华文细黑" w:hAnsi="华文细黑" w:eastAsia="华文细黑" w:cs="华文细黑"/>
                <w:b/>
                <w:bCs/>
                <w:color w:val="000000"/>
                <w:sz w:val="32"/>
                <w:szCs w:val="32"/>
                <w:u w:val="none"/>
                <w:lang w:val="en-US" w:eastAsia="zh-CN" w:bidi="ar"/>
              </w:rPr>
              <w:t>【必修课/限定选修类】（211门）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马克思主义理论类（3门）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马克思主义民族理论与政策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龚永辉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广西民族大学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马克思主义的时代解读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吴晓明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王德峰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张双利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刘建军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潘伟杰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姜义华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童兵</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张辉明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杜艳华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《共产党宣言》导读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张双利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党史国史（12门）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中国共产党历史（四川大学版）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何志明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中国共产党历史（中国传媒大学版）</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张付</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中国传媒大学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杨洋</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中国传媒大学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唐爱军</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中共中央党校（国家行政学院）</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中国共产党历史1921-2021</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吴九占</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广州大学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张雪娇</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广州大学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张琳</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广州大学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新中国史</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曹冬梅</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聂长久</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改革开放史</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王向明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闫方洁</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肖光文</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社会主义发展史</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王向明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新青年·习党史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张亮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中国共产党人的精神谱系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王彦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内蒙古医科大学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红色旅游与文化传承</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张伟伟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刘建平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刘志靖</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罗栋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陈喆芝</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中国历史人文地理（上）</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葛剑雄</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红色经典影片与近现代中国发展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李松林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首都师范大学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丝绸之路上的民族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徐黎丽</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中华优秀传统文化（30门）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明朝启示录：治乱兴亡三百年</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方志远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江西师范大学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红木文化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符韵林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广西大学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礼仪文化与有效沟通</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庞海芍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中华乌龙茶：魅力武夷岩茶</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郑慕蓉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武夷学院</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中华红茶：红茶鼻祖正山小种</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程曦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武夷学院</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茶艺学实践</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郑慕蓉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武夷学院</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中华文化才艺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孙德华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中国海洋大学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气韵生动：走进传统文化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倪淑萍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沈滨凯</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张银枝</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胡建君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张琳娜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杨帆</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缪猛剑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钱楷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来晶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王琼瑶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中国书法家协会</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吴少平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张君浪</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中医养生学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徐静汶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走进神奇的中药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刘红燕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山东中医药大学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走近中华优秀传统文化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张亮等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《论语》精读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孟琢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《孟子》精读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孟琢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《大学》精读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孟琢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《诗经》导读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《论语》导读（复旦版）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张汝伦</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《资治通鉴》导读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姜鹏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《三国志》导读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戴燕</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二十四史名篇导读（一）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韩昇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《世说新语》与魏晋名士风流</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百年风流人物：曾国藩</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探寻中国茶：一片树叶的传奇之旅</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王岳飞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童启庆</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张星海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浙江经贸职业技术学院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周继红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中医健康理念</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李灿东</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福建中医药大学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甘慧娟</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福建中医药大学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李宇涛</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福建中医药大学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王洋</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福建中医药大学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中国古代技术</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徐家跃</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毛海舫</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冯涛</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王伟</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徐春</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仇圣华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苟小泉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孙立强</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陈飞</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上海应用技术大学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文物精品与中华文明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彭林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清华大学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国学智慧</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曹胜高</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儒学与生活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黄玉顺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唐诗经典与中国文化传统</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查屏球</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用相声演绎中国文化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615950</wp:posOffset>
                  </wp:positionH>
                  <wp:positionV relativeFrom="paragraph">
                    <wp:posOffset>107950</wp:posOffset>
                  </wp:positionV>
                  <wp:extent cx="177165" cy="152400"/>
                  <wp:effectExtent l="0" t="0" r="5715" b="0"/>
                  <wp:wrapNone/>
                  <wp:docPr id="20" name="矩形_7"/>
                  <wp:cNvGraphicFramePr/>
                  <a:graphic xmlns:a="http://schemas.openxmlformats.org/drawingml/2006/main">
                    <a:graphicData uri="http://schemas.openxmlformats.org/drawingml/2006/picture">
                      <pic:pic xmlns:pic="http://schemas.openxmlformats.org/drawingml/2006/picture">
                        <pic:nvPicPr>
                          <pic:cNvPr id="20" name="矩形_7"/>
                          <pic:cNvPicPr/>
                        </pic:nvPicPr>
                        <pic:blipFill>
                          <a:blip r:embed="rId5"/>
                          <a:stretch>
                            <a:fillRect/>
                          </a:stretch>
                        </pic:blipFill>
                        <pic:spPr>
                          <a:xfrm>
                            <a:off x="0" y="0"/>
                            <a:ext cx="177165" cy="152400"/>
                          </a:xfrm>
                          <a:prstGeom prst="rect">
                            <a:avLst/>
                          </a:prstGeom>
                          <a:noFill/>
                          <a:ln>
                            <a:noFill/>
                          </a:ln>
                        </pic:spPr>
                      </pic:pic>
                    </a:graphicData>
                  </a:graphic>
                </wp:anchor>
              </w:drawing>
            </w:r>
            <w:r>
              <w:rPr>
                <w:rFonts w:hint="default" w:ascii="华文细黑" w:hAnsi="华文细黑" w:eastAsia="华文细黑" w:cs="华文细黑"/>
                <w:i w:val="0"/>
                <w:iCs w:val="0"/>
                <w:color w:val="000000"/>
                <w:kern w:val="0"/>
                <w:sz w:val="20"/>
                <w:szCs w:val="20"/>
                <w:u w:val="none"/>
                <w:lang w:val="en-US" w:eastAsia="zh-CN" w:bidi="ar"/>
              </w:rPr>
              <w:t>丁广泉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中国煤矿文工团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《孙子兵法》与执政艺术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陈昆福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职业发展与就业指导（12门）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专升本高等数学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黄超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江苏财会职业学院</w:t>
            </w:r>
          </w:p>
        </w:tc>
        <w:tc>
          <w:tcPr>
            <w:tcW w:w="4297" w:type="dxa"/>
            <w:gridSpan w:val="5"/>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无习题、试卷，不设任务点，不计课时和学分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专升本英语</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黄超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江苏财会职业学院</w:t>
            </w:r>
          </w:p>
        </w:tc>
        <w:tc>
          <w:tcPr>
            <w:tcW w:w="4297" w:type="dxa"/>
            <w:gridSpan w:val="5"/>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专升本计算机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黄超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江苏财会职业学院</w:t>
            </w:r>
          </w:p>
        </w:tc>
        <w:tc>
          <w:tcPr>
            <w:tcW w:w="4297" w:type="dxa"/>
            <w:gridSpan w:val="5"/>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职业生涯规划与求职就业指导</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连选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2"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8"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胡寒</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大学启示录：如何读大学？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熊丙奇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2"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8"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大学生涯规划与职业发展</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魏超</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2"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8"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雷五明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谢宝国</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刘喆</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张晓文</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不负卿春-大学生职业生涯规划</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洪云</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2"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8"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谭梦园</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朱明珍</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陈桂荣</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郝儒梁</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李文姣</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刘鑫</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杨硕</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张超</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邹恒</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吴历勇</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王懿娜</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昆明理工大学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婚恋-职场-人格</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雷五明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2"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8"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魏超</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张晓文</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大学生职业发展与就业指导（福州大学版）</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阮娟</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福州大学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2"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8"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白丽英</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福州大学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王枫</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福州大学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朱玉华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闽江学院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王怡</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福州大学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汪静筠</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福州大学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徐红梅</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福州大学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大学生职业发展与就业指导</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谢伟</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仁能达教育科技公司</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c>
          <w:tcPr>
            <w:tcW w:w="1192"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8"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大学生职业生涯规划（入学版）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庄明科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2"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8"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谢伟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仁能达教育科技公司</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常雪亮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首都经贸大学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大学生就业指导</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庄明科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2"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8"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谢伟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仁能达教育科技公司</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常雪亮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首都经贸大学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2"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8"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职业素养（35门）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论辩与说服</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甘莅豪</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知识产权法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何炼红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面向未来的信息素养——学术启航必修课</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王琼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教师专业发展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刘义兵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沟通的艺术</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刘颖洁</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湖南师范大学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孟奕爽</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湖南师范大学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湖南师范大学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你我职业人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倪淑萍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29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成军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邢秀凤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胡爱招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胡繁荣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黄鹏程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刘寅斌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周梅芳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李君荣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许秀平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廖俊燕</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张淑琼</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刘根华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傅晶晶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余红娟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黄娴</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杨甜甜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徐振宇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张卫民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陈鋆</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顾敏艳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陶萍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闫巍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卢柯杙</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课程与教学论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李森等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海南师范大学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说说员工与老板的那些事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王永刚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山东政法学院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男生穿搭技巧</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吴小吟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应用写作技能与规范</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王用源</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教师口语艺术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姜岚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鲁东大学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高级英语写作</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黑玉琴</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西安外国语大学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普通话实训与测试</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孙萍</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江西师范高等专科学校</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形象管理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情绪管理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韦庆旺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职业压力管理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费俊峰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九型人格之职场心理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洪新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中国九型人格导师协会</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组织行为与领导力</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张向前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华侨大学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如何高效学习</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武汉工程大学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大学生魅力讲话实操</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殷亚敏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中华企管培训网</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有效沟通技巧</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赵永忠</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北京联合大学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公文写作规范</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付传</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黑龙江大学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应用文写作</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李大敏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西安财经学院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女生穿搭技巧</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吴小吟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化妆品赏析与应用</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李利</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文翔</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薛丽</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王曦</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胡念芳</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公共关系礼仪实务</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杜汉荣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礼行天下  仪见倾心</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武雯敏</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哈尔滨商业大学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陈福宁</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哈尔滨商业大学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房琳琳</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哈尔滨商业大学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郭慧</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哈尔滨商业大学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康博</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哈尔滨商业大学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张贺</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哈尔滨商业大学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张静雯</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哈尔滨商业大学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哈尔滨商业大学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c>
          <w:tcPr>
            <w:tcW w:w="1648"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外经贸英语函电</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张云清</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姚静</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陈隽</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黄丽莉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英语演讲技巧与实训</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张春敏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大学英语口语</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彭楠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黑龙江东方学院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趣味英语与翻译</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覃军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湖北民族大学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商务英语翻译技巧</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魏华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江西外语外贸职业学院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商务英语口语与实训</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赵越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江西外语外贸职业学院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Flash动画技术入门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汪学均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35</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数字影视编导与制作</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王润兰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河北师范大学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刘成锁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马艳彬</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廊坊师范学院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王晓旭</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鲁东大学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黄嘉丰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宋秉霖</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河北传媒学院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冀强伟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河北广播电视大学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创新创业（23门）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智能时代下的创新创业实践</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黄彦辉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信息技术与创新创业</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姚志强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创新创业：思维与方法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侯永雄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华南师范大学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创新设计梦工场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葛杨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哈尔滨工程大学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网络创业理论与实践（2024年版）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聂兵</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国家人社部网络创业培训项目</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创新创业基础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李家华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中国青年政治学院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董青春</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北京航空航天大学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葛建新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中央财经大学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脑洞大开背后的创新思维</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冯林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大连理工大学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创新创业</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张玉臣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叶明海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邵鲁宁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走进创业</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王自强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陶向南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大学生创新基础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冯林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大连理工大学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首都经济贸易大学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创新思维训练</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王竹立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山西师范大学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电子商务那些事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刘新燕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中南财经政法大学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创新中国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创业人生</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顾骏、顾晓英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精益——大学生创新与创业</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周燕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河北农业大学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商业计划书制作与演示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邓立治</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北京科技大学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商业计划书的优化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陈爱国</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18"/>
                <w:szCs w:val="18"/>
                <w:u w:val="none"/>
              </w:rPr>
            </w:pPr>
            <w:r>
              <w:rPr>
                <w:rFonts w:hint="default" w:ascii="华文细黑" w:hAnsi="华文细黑" w:eastAsia="华文细黑" w:cs="华文细黑"/>
                <w:i w:val="0"/>
                <w:iCs w:val="0"/>
                <w:color w:val="000000"/>
                <w:kern w:val="0"/>
                <w:sz w:val="18"/>
                <w:szCs w:val="18"/>
                <w:u w:val="none"/>
                <w:lang w:val="en-US" w:eastAsia="zh-CN" w:bidi="ar"/>
              </w:rPr>
              <w:t>科学技术部火炬高技术产业开发中心</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创新创业大赛赛前特训</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元志中</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中国创新创业大赛</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批判与创意思考</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冯林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大连理工大学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批创思维导论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熊明辉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TRIZ创新方法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冯林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大连理工大学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人力资源管理：基于创新创业视角</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张向前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华侨大学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大学生创新创业降龙十八讲</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李变花</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李艺玲</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张敏锋</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林晓伟</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李彬</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薛山</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林炳坤</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王杨</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陈斯胄</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谢雅璐</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王子贤</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林辉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姬康</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闽南师范大学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信息技术（9门）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学术论文文献阅读与机助汉英翻译</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何欣忆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重庆大学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鸿蒙系统应用开发基础知识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刘玲芝</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深圳市证开鸿科技有限公司</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论文写作原理与方法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田洪鋆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区块链技术与应用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赵其刚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西南交通大学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巧克毕业论文</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彭迪云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信息素养：效率提升与终身学习的新引擎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周建芳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四川师范大学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沙玉萍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王一</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文献信息检索与利用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陈萍秀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成都航空职业技术学院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信息素养通识教程：数字化生存的必修课</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潘燕桃 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中山大学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论文写作初阶</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凌斌</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color w:val="000000"/>
                <w:sz w:val="28"/>
                <w:szCs w:val="28"/>
                <w:u w:val="none"/>
                <w:lang w:val="en-US" w:eastAsia="zh-CN" w:bidi="ar"/>
              </w:rPr>
              <w:t>健康教育（23门）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跟我一起练瑜伽</w:t>
            </w: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王会儒</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能量觉醒：传统文化与养生运动</w:t>
            </w: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樊静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南京中医药大学 等</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爱上体育：球类运动技能速成指南</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陈彬</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上海体育大学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卢志泉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上海体育大学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马成国</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舞出好身材：流行舞蹈与美体塑形</w:t>
            </w: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王维肖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南京体育学院 等</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急救与心理技能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黎志宏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心理健康与自我成长</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陕西能源职业技术学院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刘予东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陕西能源职业技术学院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赵蓓</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陕西能源职业技术学院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陕西能源职业技术学院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食品营养与健康</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何雄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浙江药科职业大学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家庭安全合理用药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李乐</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石河子大学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大学生健康教育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闻玉梅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彭裕文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汤其群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傅华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张文宏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复旦大学附属华山医院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卢洪洲</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上海市公共卫生临床中心</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季建林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复旦大学附属中山医院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阚海东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厉曙光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郑频频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赵根明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上海市精神卫生中心</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杜江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上海市精神卫生中心</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许洁霜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上海市妇幼保健中心</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吴国宏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陈斌斌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戴俊明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高俊岭</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沈奕斐</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李明华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上海市医疗急救中心</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叶继</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上海市医疗急救中心</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陈斯峻</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贾英男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安全与急救</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代勇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四川警察学院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大学生恋爱与性健康</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甄宏丽</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中国性学会</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619760</wp:posOffset>
                  </wp:positionH>
                  <wp:positionV relativeFrom="paragraph">
                    <wp:posOffset>60325</wp:posOffset>
                  </wp:positionV>
                  <wp:extent cx="173355" cy="123825"/>
                  <wp:effectExtent l="0" t="0" r="9525" b="13335"/>
                  <wp:wrapNone/>
                  <wp:docPr id="25" name="矩形_4"/>
                  <wp:cNvGraphicFramePr/>
                  <a:graphic xmlns:a="http://schemas.openxmlformats.org/drawingml/2006/main">
                    <a:graphicData uri="http://schemas.openxmlformats.org/drawingml/2006/picture">
                      <pic:pic xmlns:pic="http://schemas.openxmlformats.org/drawingml/2006/picture">
                        <pic:nvPicPr>
                          <pic:cNvPr id="25" name="矩形_4"/>
                          <pic:cNvPicPr/>
                        </pic:nvPicPr>
                        <pic:blipFill>
                          <a:blip r:embed="rId6"/>
                          <a:stretch>
                            <a:fillRect/>
                          </a:stretch>
                        </pic:blipFill>
                        <pic:spPr>
                          <a:xfrm>
                            <a:off x="0" y="0"/>
                            <a:ext cx="173355" cy="123825"/>
                          </a:xfrm>
                          <a:prstGeom prst="rect">
                            <a:avLst/>
                          </a:prstGeom>
                          <a:noFill/>
                          <a:ln>
                            <a:noFill/>
                          </a:ln>
                        </pic:spPr>
                      </pic:pic>
                    </a:graphicData>
                  </a:graphic>
                </wp:anchor>
              </w:drawing>
            </w:r>
            <w:r>
              <w:rPr>
                <w:rFonts w:hint="default" w:ascii="华文细黑" w:hAnsi="华文细黑" w:eastAsia="华文细黑" w:cs="华文细黑"/>
                <w:i w:val="0"/>
                <w:iCs w:val="0"/>
                <w:color w:val="000000"/>
                <w:kern w:val="0"/>
                <w:sz w:val="20"/>
                <w:szCs w:val="20"/>
                <w:u w:val="none"/>
                <w:lang w:val="en-US" w:eastAsia="zh-CN" w:bidi="ar"/>
              </w:rPr>
              <w:t>李子勋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中日友好医院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大学生防艾健康教育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甄宏丽</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中国性学会</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死亡文化与生死教育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王云岭</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健康与健康能力</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刘佩梅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天津医科大学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常见病的健康管理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章雅青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绿色康复</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刘忠良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大学生生理健康</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生殖健康——“性”福学堂</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邢爱耘</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楼江燕</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乔林</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柳良仁</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刘宏伟</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姚强</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李金科</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李定明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生殖健康与优生</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张金萍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绍兴文理学院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现场生命急救知识与技能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郑莉萍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郑月慧</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雷恩骏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揭志刚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许建宁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食品安全与日常饮食</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中国农业大学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食品营养与食品安全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胡敏予</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恋爱心理学（湖北医药学院版）</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翟成蹊</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湖北医药学院</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美育（48门）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国乐正当潮：非遗传统乐器入门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赵磊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中央民族歌舞团、中国煤矿文工团等</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指尖有乾坤：非遗传统技艺入门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吴清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上海社会科学院、各非遗保护单位等</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国韵华章：中华传统戏曲鉴赏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陈澄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上海京剧院、北方昆曲剧院等</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美育中国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顾晓英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倾听——音乐的形式与审美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江柏安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地学景观探秘·审美·文化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文海家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重庆大学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品鉴养识：收藏里的艺术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张爱红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建筑·文化·生活</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王绍森 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厦门大学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中国戏曲文化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刘奇玉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湖南科技大学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大学美育（同济大学版）</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汪品先</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李杰</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裴钢</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李麟学</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王建民</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李蕊</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张弛</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王鑫</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朱崇志</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于幸泽</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王荔</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陈东杰</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万芳</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刘世宁</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马晓辉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上海民族乐团</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钱正</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杨晓林</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催铭</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秦川</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刘一闻</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上海博物馆</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李翔宁</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邵甬</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梁进</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胡飞</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卜王辉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朱宇晖</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陈嘉瑜</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走进芭蕾——中外芭蕾经典作品鉴赏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仝妍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华南师范大学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中国陶瓷鉴赏与器物陈设</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湖北美术学院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设计艺术史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邹满星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西安外国语大学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朗读艺术入门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王一婷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浙江传媒学院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光影中国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顾晓英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程波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刘海波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齐伟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徐文明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画说</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薛巍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青岛黄海学院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时尚与品牌</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任力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服装流行分析与预测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刘丽娴</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花道--插花技艺养成</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易伟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云南林业职业技术学院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艺术导论(西安交大版）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黎荔</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艺术鉴赏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彭吉象</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北京大学、重庆大学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美的历程：美学导论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刘悦笛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中国社会科学院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大学美育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沙家强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张欣杰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王雅静</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魏华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买琳芳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刘晓燕</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刘娟娟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张彦聪</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司海迪</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中国民间艺术的奇妙之旅</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邱璟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绘画里的中国：走进大师与经典</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吕澎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中国美术学院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中国古建筑欣赏与设计</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柳肃</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人人爱设计</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王震亚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舞台人生：走进戏剧艺术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中央戏剧学院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走进西方音乐</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杨九华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浙江音乐学院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穿T恤听古典音乐</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田艺苗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上海音乐学院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聆听心声：音乐审美心理分析</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周海宏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中央音乐学院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从草根到殿堂：流行音乐导论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陶辛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上海音乐学院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中国戏曲·昆曲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张弘</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江苏省昆剧院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声光影的内心感动：电影视听语言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吴卓</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钢琴艺术赏析</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王月颖</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园林花卉文化与鉴赏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季梦成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浙江农林大学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书法鉴赏 （浙江财大版）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黄建新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浙江财经大学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音乐鉴赏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周海宏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中央音乐学院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影视鉴赏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陈旭光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舞蹈鉴赏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北京舞蹈学院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戏剧鉴赏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张先</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中央戏剧学院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29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美术鉴赏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李松</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戏曲鉴赏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吴乾浩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中国艺术研究院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民歌鉴赏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孟超美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西方美术欣赏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孙乃树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漫画艺术欣赏与创作</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杨树山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宋崇导演教你拍摄微电影</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宋崇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电影与幸福感</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侯龙龙</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基础课程（16门）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生物化学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何海伦</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无机化学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马骁飞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仪器分析</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刘宇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有机化学（上）</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赵温涛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有机化学（下）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赵温涛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分析化学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王月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重庆科技大学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微积分启蒙</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李尚志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北京航空航天大学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线性代数启蒙</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李尚志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北京航空航天大学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剑指CET-4：大学生英语能力基础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韩刚</w:t>
            </w:r>
          </w:p>
        </w:tc>
        <w:tc>
          <w:tcPr>
            <w:tcW w:w="241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超星集团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63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孙华</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付建利</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丁雪明</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剑指CET-6：大学生英语能力进阶</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韩刚</w:t>
            </w:r>
          </w:p>
        </w:tc>
        <w:tc>
          <w:tcPr>
            <w:tcW w:w="241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超星集团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63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孙华</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付建利</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丁雪明</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【基础版】大学计算机-计算思维导论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战德臣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大学国文（上）</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563880</wp:posOffset>
                  </wp:positionH>
                  <wp:positionV relativeFrom="paragraph">
                    <wp:posOffset>131445</wp:posOffset>
                  </wp:positionV>
                  <wp:extent cx="228600" cy="81915"/>
                  <wp:effectExtent l="0" t="0" r="0" b="10795"/>
                  <wp:wrapNone/>
                  <wp:docPr id="24" name="矩形_15"/>
                  <wp:cNvGraphicFramePr/>
                  <a:graphic xmlns:a="http://schemas.openxmlformats.org/drawingml/2006/main">
                    <a:graphicData uri="http://schemas.openxmlformats.org/drawingml/2006/picture">
                      <pic:pic xmlns:pic="http://schemas.openxmlformats.org/drawingml/2006/picture">
                        <pic:nvPicPr>
                          <pic:cNvPr id="24" name="矩形_15"/>
                          <pic:cNvPicPr/>
                        </pic:nvPicPr>
                        <pic:blipFill>
                          <a:blip r:embed="rId7"/>
                          <a:stretch>
                            <a:fillRect/>
                          </a:stretch>
                        </pic:blipFill>
                        <pic:spPr>
                          <a:xfrm>
                            <a:off x="0" y="0"/>
                            <a:ext cx="228600" cy="81915"/>
                          </a:xfrm>
                          <a:prstGeom prst="rect">
                            <a:avLst/>
                          </a:prstGeom>
                          <a:noFill/>
                          <a:ln>
                            <a:noFill/>
                          </a:ln>
                        </pic:spPr>
                      </pic:pic>
                    </a:graphicData>
                  </a:graphic>
                </wp:anchor>
              </w:drawing>
            </w:r>
            <w:r>
              <w:rPr>
                <w:rFonts w:hint="default" w:ascii="华文细黑" w:hAnsi="华文细黑" w:eastAsia="华文细黑" w:cs="华文细黑"/>
                <w:i w:val="0"/>
                <w:iCs w:val="0"/>
                <w:color w:val="000000"/>
                <w:kern w:val="0"/>
                <w:sz w:val="20"/>
                <w:szCs w:val="20"/>
                <w:u w:val="none"/>
                <w:lang w:val="en-US" w:eastAsia="zh-CN" w:bidi="ar"/>
              </w:rPr>
              <w:t>王步高</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72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大学国文（下）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571500</wp:posOffset>
                  </wp:positionH>
                  <wp:positionV relativeFrom="paragraph">
                    <wp:posOffset>123825</wp:posOffset>
                  </wp:positionV>
                  <wp:extent cx="221615" cy="99695"/>
                  <wp:effectExtent l="0" t="0" r="6985" b="5715"/>
                  <wp:wrapNone/>
                  <wp:docPr id="22" name="矩形_15_SpCnt_1"/>
                  <wp:cNvGraphicFramePr/>
                  <a:graphic xmlns:a="http://schemas.openxmlformats.org/drawingml/2006/main">
                    <a:graphicData uri="http://schemas.openxmlformats.org/drawingml/2006/picture">
                      <pic:pic xmlns:pic="http://schemas.openxmlformats.org/drawingml/2006/picture">
                        <pic:nvPicPr>
                          <pic:cNvPr id="22" name="矩形_15_SpCnt_1"/>
                          <pic:cNvPicPr/>
                        </pic:nvPicPr>
                        <pic:blipFill>
                          <a:blip r:embed="rId8"/>
                          <a:stretch>
                            <a:fillRect/>
                          </a:stretch>
                        </pic:blipFill>
                        <pic:spPr>
                          <a:xfrm>
                            <a:off x="0" y="0"/>
                            <a:ext cx="221615" cy="99695"/>
                          </a:xfrm>
                          <a:prstGeom prst="rect">
                            <a:avLst/>
                          </a:prstGeom>
                          <a:noFill/>
                          <a:ln>
                            <a:noFill/>
                          </a:ln>
                        </pic:spPr>
                      </pic:pic>
                    </a:graphicData>
                  </a:graphic>
                </wp:anchor>
              </w:drawing>
            </w:r>
            <w:r>
              <w:rPr>
                <w:rFonts w:hint="default" w:ascii="华文细黑" w:hAnsi="华文细黑" w:eastAsia="华文细黑" w:cs="华文细黑"/>
                <w:i w:val="0"/>
                <w:iCs w:val="0"/>
                <w:color w:val="000000"/>
                <w:kern w:val="0"/>
                <w:sz w:val="20"/>
                <w:szCs w:val="20"/>
                <w:u w:val="none"/>
                <w:lang w:val="en-US" w:eastAsia="zh-CN" w:bidi="ar"/>
              </w:rPr>
              <w:t>王步高</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94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大学物理（上）</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董占海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63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大学物理（下）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董占海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大学信息技术基础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陈琼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0507" w:type="dxa"/>
            <w:gridSpan w:val="9"/>
            <w:shd w:val="clear" w:color="auto" w:fill="8EA9DB"/>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32"/>
                <w:szCs w:val="32"/>
                <w:u w:val="none"/>
              </w:rPr>
            </w:pPr>
            <w:r>
              <w:rPr>
                <w:rFonts w:hint="default" w:ascii="华文细黑" w:hAnsi="华文细黑" w:eastAsia="华文细黑" w:cs="华文细黑"/>
                <w:b/>
                <w:bCs/>
                <w:i w:val="0"/>
                <w:iCs w:val="0"/>
                <w:color w:val="000000"/>
                <w:kern w:val="0"/>
                <w:sz w:val="32"/>
                <w:szCs w:val="32"/>
                <w:u w:val="none"/>
                <w:lang w:val="en-US" w:eastAsia="zh-CN" w:bidi="ar"/>
              </w:rPr>
              <w:t>【劳动教育】（6门）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新时代大学生劳动教育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张姝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武汉商学院</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高职劳动教育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倪淑萍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金华职业技术学院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大学生劳动教育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朱华炳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合肥工业大学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对话大国工匠 致敬劳动模范</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王多吉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钟雪生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田守雷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劳动通论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刘向兵</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劳动关系学院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刘丽红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李珂</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曲霞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吴建平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王起全</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李淑玲</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曹荣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刘曦</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岳玲</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赵鑫全</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宋艳慧</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中国劳动关系学院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工匠精神</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余倩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九江职业技术学院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7" w:type="dxa"/>
            <w:gridSpan w:val="9"/>
            <w:shd w:val="clear" w:color="auto" w:fill="8EA9DB"/>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32"/>
                <w:szCs w:val="32"/>
                <w:u w:val="none"/>
              </w:rPr>
            </w:pPr>
            <w:r>
              <w:rPr>
                <w:rFonts w:hint="default" w:ascii="华文细黑" w:hAnsi="华文细黑" w:eastAsia="华文细黑" w:cs="华文细黑"/>
                <w:b/>
                <w:bCs/>
                <w:color w:val="000000"/>
                <w:sz w:val="32"/>
                <w:szCs w:val="32"/>
                <w:u w:val="none"/>
                <w:lang w:val="en-US" w:eastAsia="zh-CN" w:bidi="ar"/>
              </w:rPr>
              <w:t>【选修类】（215门）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国家安全（5门）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国家安全教育</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秦立强</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李丽华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朱旭东</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刘颖</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张银州</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王蒙</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刘蔚</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杨广博</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徐朝雨</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聂麒赞</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李翠芳</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余晓强</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韩旭</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孙悦</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景一珈</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韩娜</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巴锐</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杨博</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滕学为</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中国人民公安大学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国家安全教育（吉林大学版）</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肖晞</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唐永胜</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国防大学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郭锐</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乔蕊</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陈曦</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郝乐</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安宁</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迟也迪</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刘雅姝</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高维龙</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大国兵器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尹建平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中北大学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王泽山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王哲荣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朵英贤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李魁武</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刘永才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刘尚合</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苏哲子</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张锡祥</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杨绍卿</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杨树兴</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中国工程院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蔺玄晋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王志军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移动互联网时代的信息安全与防护</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犯罪与文明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汪明亮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节能减排（2门）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全球变化生态学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古松</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全球变化与地球系统科学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553085</wp:posOffset>
                  </wp:positionH>
                  <wp:positionV relativeFrom="paragraph">
                    <wp:posOffset>43180</wp:posOffset>
                  </wp:positionV>
                  <wp:extent cx="240030" cy="128270"/>
                  <wp:effectExtent l="0" t="0" r="3810" b="8890"/>
                  <wp:wrapNone/>
                  <wp:docPr id="21" name="矩形_7_SpCnt_1"/>
                  <wp:cNvGraphicFramePr/>
                  <a:graphic xmlns:a="http://schemas.openxmlformats.org/drawingml/2006/main">
                    <a:graphicData uri="http://schemas.openxmlformats.org/drawingml/2006/picture">
                      <pic:pic xmlns:pic="http://schemas.openxmlformats.org/drawingml/2006/picture">
                        <pic:nvPicPr>
                          <pic:cNvPr id="21" name="矩形_7_SpCnt_1"/>
                          <pic:cNvPicPr/>
                        </pic:nvPicPr>
                        <pic:blipFill>
                          <a:blip r:embed="rId9"/>
                          <a:stretch>
                            <a:fillRect/>
                          </a:stretch>
                        </pic:blipFill>
                        <pic:spPr>
                          <a:xfrm>
                            <a:off x="0" y="0"/>
                            <a:ext cx="240030" cy="128270"/>
                          </a:xfrm>
                          <a:prstGeom prst="rect">
                            <a:avLst/>
                          </a:prstGeom>
                          <a:noFill/>
                          <a:ln>
                            <a:noFill/>
                          </a:ln>
                        </pic:spPr>
                      </pic:pic>
                    </a:graphicData>
                  </a:graphic>
                </wp:anchor>
              </w:drawing>
            </w:r>
            <w:r>
              <w:rPr>
                <w:rFonts w:hint="default" w:ascii="华文细黑" w:hAnsi="华文细黑" w:eastAsia="华文细黑" w:cs="华文细黑"/>
                <w:i w:val="0"/>
                <w:iCs w:val="0"/>
                <w:color w:val="000000"/>
                <w:kern w:val="0"/>
                <w:sz w:val="20"/>
                <w:szCs w:val="20"/>
                <w:u w:val="none"/>
                <w:lang w:val="en-US" w:eastAsia="zh-CN" w:bidi="ar"/>
              </w:rPr>
              <w:t>刘本培</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中国地质大学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绿色环保（6门）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中国传统文化与生态文明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许婕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东北林业大学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环境保护那些事儿</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郭琳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山东科技大学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山东科技大学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胡术刚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山东科技大学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山东科技大学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垃圾分类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戴星翼</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杜欢政</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家园的治理：环境科学概论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戴星翼</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生态文明——撑起美丽中国梦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林文雄</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张重义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何华勤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陈冬梅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范水生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魏道智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方志伟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曾任森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何东进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吴则焰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人文视野中的生态学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包国章</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color w:val="000000"/>
                <w:sz w:val="28"/>
                <w:szCs w:val="28"/>
                <w:u w:val="none"/>
                <w:lang w:val="en-US" w:eastAsia="zh-CN" w:bidi="ar"/>
              </w:rPr>
              <w:t>金融知识（16门）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经济学导论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施丹</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对外经济贸易大学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经济基础与应用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安静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顺德职业技术学院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经济决策思维与原理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赵英军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浙江工商大学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国际金融</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汪洋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江西财经大学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轻松学统计</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罗良清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江西财经大学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会计学原理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程淑珍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江西财经大学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个人理财规划</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宋蔚蔚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重庆理工大学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像经济学家那样思考：信息、激励与政策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经济与社会：如何用决策思维洞察生活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寇宗来</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经济学原理（上）：中国故事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经济学原理（下）：全球视角</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袁志刚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中国道路的经济解释</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石磊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人人学点营销学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杜鹏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中南财经政法大学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现代市场营销素质与能力提升</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杨洪涛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华侨大学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中国税制（中南财经政法大学版）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薛钢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中南财经政法大学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王宝顺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陈思霞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中南财经政法大学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趣修经济学——微观篇</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李艳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广东金融学院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社会责任（10门）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经济法</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王先林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法与社会</w:t>
            </w: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季卫东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乡村振兴的实践探索</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海闻</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汪三贵</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中国人民大学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张云祥</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深圳甲子启航投资有限公司</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魏延安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商务部</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中国果品流通协会</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李成才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中国电视艺术家协会电视行业委员会</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李颖</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大自然保护协会（TNC）中国部</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马达飞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中国薯都马铃薯博物馆</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法律与社会</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潘伟杰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大学生公民素质教育（南师大版）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管新华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毒品危害与防范</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代勇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四川警察学院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社会学与中国社会</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郭于华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清华大学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晋军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清华大学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当政府遇上互联网</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经国济民</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透过性别看世界</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沈奕斐</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人口资源（4门）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现代人口管理学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高向东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中国历史人文地理（下）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葛剑雄</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现代城市生态与环境学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李建龙</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基因与人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李大伟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海洋科学（5门）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海洋与人类文明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严小军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浙江海洋大学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智慧海洋</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刘振泽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43</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地球历史及其生命的奥秘</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孙柏年</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海上丝绸之路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楼正豪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浙江海洋大学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现代自然地理学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管理（12门）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数字创新战略</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王砚羽</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北京邮电大学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领导力素养</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吕鸿江 等</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东南大学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电子商务</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邵兵家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重庆大学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人力资源管理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田昕加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东北林业大学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经济学的思维方式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俞炜华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内部控制与风险管理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王清刚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中南财经政法大学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管理素质与能力的五项修炼——跟我学“管理学”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熊勇清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组织行为学</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王淑红</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中南财经政法大学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管理学精要</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邢以群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行政管理学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徐双敏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中南财经政法大学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企业绿色管理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万玺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重庆科技学院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战略推演：商业竞争与制胜之道</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王昶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i w:val="0"/>
                <w:iCs w:val="0"/>
                <w:color w:val="000000"/>
                <w:kern w:val="0"/>
                <w:sz w:val="28"/>
                <w:szCs w:val="28"/>
                <w:u w:val="none"/>
                <w:lang w:val="en-US" w:eastAsia="zh-CN" w:bidi="ar"/>
              </w:rPr>
              <w:t>科学素养与探索精神（118门）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医学人工智能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尹太郎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数学的天空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张跃辉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遇见人工智能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印鉴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中山大学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大数据时代的医疗革命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黄涛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自然语言处理与人工智能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沈颖</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中山大学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人工智能伦理导论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古天龙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暨南大学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AI艺术理论与实践</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胡智锋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走进精彩的汽车世界</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刘宏新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东北农业大学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人类思维与学科史论：生物学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江文正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大语言模型与创意写作</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智能教育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微生物星球</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张美玲</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江文正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能动中国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王勇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生成式人工智能应用基础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林菲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杭州电子科技大学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人工智能时代的创新思维</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车海莺</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（理论课时：27</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大模型应用与实践</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（原“大语言模型应用与实践”升级版）</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施晓明</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人工智能（华东师范大学版）</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林欣</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微生物学</w:t>
            </w: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人工智能与现代农林业</w:t>
            </w: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王正加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浙江农林大学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648"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智能机器人设计与实践</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马纪明</w:t>
            </w:r>
          </w:p>
        </w:tc>
        <w:tc>
          <w:tcPr>
            <w:tcW w:w="241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北京航空航天大学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张瑾</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韩亮</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黄行蓉</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人工智能与法律</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冯子轩</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西南政法大学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计算机科学导论——计算机学科发展史</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高晓沨</w:t>
            </w:r>
          </w:p>
        </w:tc>
        <w:tc>
          <w:tcPr>
            <w:tcW w:w="241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陈全</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沈艳艳</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李超</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陈国兴</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张伟楠</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吴晨涛</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王磊</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潘理</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王瑞</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杨旸</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傅洛伊</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王韫博</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648"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无人驾驶车辆</w:t>
            </w: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熊光明</w:t>
            </w:r>
          </w:p>
        </w:tc>
        <w:tc>
          <w:tcPr>
            <w:tcW w:w="241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北京理工大学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龚建伟</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吴绍斌</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吕超</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邸慧军</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陈慧岩</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大数据与人工智能营销</w:t>
            </w: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刘容</w:t>
            </w:r>
          </w:p>
        </w:tc>
        <w:tc>
          <w:tcPr>
            <w:tcW w:w="241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帅宁</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王秋莲</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尧军文</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李梓涵昕</w:t>
            </w:r>
          </w:p>
        </w:tc>
        <w:tc>
          <w:tcPr>
            <w:tcW w:w="241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c>
          <w:tcPr>
            <w:tcW w:w="1648"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人工智能通识基础（大模型篇）</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孙凌云</w:t>
            </w:r>
          </w:p>
        </w:tc>
        <w:tc>
          <w:tcPr>
            <w:tcW w:w="2417"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（理论课时：11</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厉向东</w:t>
            </w:r>
          </w:p>
        </w:tc>
        <w:tc>
          <w:tcPr>
            <w:tcW w:w="241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陈培</w:t>
            </w:r>
          </w:p>
        </w:tc>
        <w:tc>
          <w:tcPr>
            <w:tcW w:w="241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张克俊</w:t>
            </w:r>
          </w:p>
        </w:tc>
        <w:tc>
          <w:tcPr>
            <w:tcW w:w="241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尤伟涛</w:t>
            </w:r>
          </w:p>
        </w:tc>
        <w:tc>
          <w:tcPr>
            <w:tcW w:w="241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李泽健</w:t>
            </w:r>
          </w:p>
        </w:tc>
        <w:tc>
          <w:tcPr>
            <w:tcW w:w="241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向为</w:t>
            </w:r>
          </w:p>
        </w:tc>
        <w:tc>
          <w:tcPr>
            <w:tcW w:w="2417"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961"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动手学 AI：人工智能通识与实践（人文艺术版）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周志华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（理论课时：14</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AI实验课时：6）</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李宇峰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申富饶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范鹤鹤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朱霖潮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陈思明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刘卫文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刘湘雯</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阿里云</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徐英瑾</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动手学 AI：人工智能通识与实践（社科版）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周志华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（理论课时：14</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AI实验课时：6）</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李宇峰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申富饶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范鹤鹤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朱霖潮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陈思明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刘卫文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刘湘雯</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阿里云</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徐英瑾</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动手学 AI：人工智能通识与实践（理工版）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周志华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（理论课时：14</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AI实验课时：6）</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李宇峰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申富饶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范鹤鹤</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朱霖潮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陈思明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刘卫文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刘湘雯</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阿里云</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徐英瑾</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机械基础实景教学（机械原理）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张锋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材料与社会——探秘身边的材料</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李样生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南昌大学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生活中的新能源——生物质能源</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吴迪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东北林业大学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科学使命与人文精神</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刘振泽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物理与艺术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施大宁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南京航空航天大学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传感与检测技术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刘红丽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新型传感技术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樊尚春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北京航空航天大学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机械制造基础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周计明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西北工业大学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神奇的材料世界</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文进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智能时代必修课：人工智能通识基础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孙长银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安徽大学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人工智能导论（南方科技大学版）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南方科技大学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人工智能导论（西安电子科技大学版）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刘若辰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西安电子科技大学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人工智能导论（哈尔滨工程大学版）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莫宏伟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哈尔滨工程大学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人工智能入门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李树青</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南京财经大学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人工智能（东北大学版）</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张恩德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人工智能通识基础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冯林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大连民族大学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人工智能安全与伦理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韦星星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北京航空航天大学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大学计算机与人工智能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崔舒宁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统计、大数据与生活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朱永忠</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深度学习基础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刘远超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算法设计与分析入门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王宏志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大数据计算系统</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王宏志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人工智能经济学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陆明涛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首都经济贸易大学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CDIO项目实践实训课程——机器人方向</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胡桥</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机器人技术导论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程磊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武汉科技大学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智能产品创意设计</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5G与人工智能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胡白燕</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湖北师范大学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机器学习初步</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周志华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生命科学简史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刘锐</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中国科学技术大学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航天、人文与艺术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闻新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南京航空航天大学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宇宙探索与发现</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刘金寿</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大连大学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机器人制作与创客综合能力实训</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贾翠玲</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内蒙古工业大学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大数据与人工智能导论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林子雨</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厦门大学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（理论课时：31</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（理论课时：50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数据伦理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丛杭青</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FFFFFF"/>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生成式人工智能原理及其影响和应用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刘晓光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FFFFFF"/>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FFFFFF"/>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秦勇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FFFFFF"/>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李起成</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FFFFFF"/>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FFFFFF"/>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刘晓峰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64</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人工智能与创新</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（理论课时：12</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高裴裴</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路明晓</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郭蕴</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张健</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李兴娟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大数据分析导论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朱晓峰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走进人工智能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青岛职业技术学院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29</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（理论课时：24</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赵春霞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青岛职业技术学院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尚蕊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青岛职业技术学院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刘志敏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青岛职业技术学院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67</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人工智能应用基础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钱晓忠</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无锡职业技术学院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史荧中</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无锡职业技术学院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邓赵红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数字时代的智能技术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张浩向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宁波工程学院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刘先勇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宁波工程学院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汪保</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衢州学院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69</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计算与人工智能概论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罗娟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袁进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许莹</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肖正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肖德贵</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李小英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蔡宇辉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贺再红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黄友荣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湖南大学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人工智能导论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于东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北京语言大学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71</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人工智能与创业智慧</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李华晶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北京林业大学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张玉利</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姜卉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中国科学院大学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72</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人工智能概论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沙晓艳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陕西职业技术学院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肖宁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罗彩君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雷蓓蓓</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聂华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常刚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陕西职业技术学院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73</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人工智能与科学之美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周彦</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段斌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王冬丽</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张莹</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湘潭大学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周智华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粤嵌通信科技股份有限公司</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人人都能上手的AI工具</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超星公司</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智驭未来：AI工具辅助高效学习与科研</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王树义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天津师范大学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（理论课时：10</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（理论课时：16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76</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化学与中国文明</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孙兴文</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医学的社会文化史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高晞</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食品质量控制与管理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钱和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江南大学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王周平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姚卫蓉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成玉梁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郭亚辉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江南大学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Python语言基础与应用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80</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身边的基因科学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卢大儒</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皮妍</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石油工业概论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张卫东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中国石油大学（华东）</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辐射与防护</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侯桂华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山东大学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世界地理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杜德斌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立于书外读化学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李丽波</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哈尔滨理工大学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数据时代的推断陷阱</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杨楠</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上海财经大学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文科物理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张加驰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人文的物理学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金晓峰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88</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顾晓英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张新鹏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郭毅可</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骆祥峰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聂永有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肖俊杰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王国中</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武星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孙晓岚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林仪煌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胡建君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李晓强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杨扬</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人文智能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智能法理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生命智能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智能文明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人工智能与信息社会</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陈斌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北京大学/微软亚洲研究院</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（理论课时：21</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31</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（理论课时：26</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AI实验课时：5）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人工智能，语言与伦理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徐英瑾</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从爱因斯坦到霍金的宇宙</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赵峥</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96</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太阳系中的有趣科学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周煦之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田晖</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97</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舌尖上的植物学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邓兴旺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31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许智宏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万建民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中国农业科学院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noWrap/>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黄三文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中国农业科学院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走近核科学技术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吴王锁</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兰州大学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《上帝掷骰子吗：量子物理史话》导读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曹天元</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赋山传媒</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名侦探柯南与化学探秘</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科幻中的物理学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李淼</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中山大学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星海求知：天文学的奥秘</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苏宜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数学的奥秘：本质与思维</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王维克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大数据算法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王宏志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哈尔滨工业大学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数据结构与算法</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王曙燕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西安邮电大学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计算机绘图</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涂晓斌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细胞的奥秘</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曾宪录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东北师范大学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什么是科学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吴国盛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清华大学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汽车之旅</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张炳荣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齐鲁工业大学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航空概论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马高山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郑州航空工业管理学院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啤酒酿造与文化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聂聪</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齐鲁工业大学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物理与人类生活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张汉壮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汽车行走的艺术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王建华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计算机网络技术</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李晓峰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吉林大学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数学文化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顾沛</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世界科技文化史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李建珊</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文化地理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韩茂莉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邮票上的昆虫世界</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福建农林大学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0507" w:type="dxa"/>
            <w:gridSpan w:val="9"/>
            <w:shd w:val="clear" w:color="auto" w:fill="ED7D31"/>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8"/>
                <w:szCs w:val="28"/>
                <w:u w:val="none"/>
              </w:rPr>
            </w:pPr>
            <w:r>
              <w:rPr>
                <w:rFonts w:hint="default" w:ascii="华文细黑" w:hAnsi="华文细黑" w:eastAsia="华文细黑" w:cs="华文细黑"/>
                <w:b/>
                <w:bCs/>
                <w:color w:val="000000"/>
                <w:sz w:val="28"/>
                <w:szCs w:val="28"/>
                <w:u w:val="none"/>
                <w:lang w:val="en-US" w:eastAsia="zh-CN" w:bidi="ar"/>
              </w:rPr>
              <w:t>人文素养与全球视野（37门）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序号</w:t>
            </w:r>
          </w:p>
        </w:tc>
        <w:tc>
          <w:tcPr>
            <w:tcW w:w="1648"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课程名称</w:t>
            </w:r>
          </w:p>
        </w:tc>
        <w:tc>
          <w:tcPr>
            <w:tcW w:w="1569"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教师</w:t>
            </w:r>
          </w:p>
        </w:tc>
        <w:tc>
          <w:tcPr>
            <w:tcW w:w="2417" w:type="dxa"/>
            <w:vMerge w:val="restart"/>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机构</w:t>
            </w:r>
          </w:p>
        </w:tc>
        <w:tc>
          <w:tcPr>
            <w:tcW w:w="2017" w:type="dxa"/>
            <w:gridSpan w:val="2"/>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纯在线模式</w:t>
            </w:r>
          </w:p>
        </w:tc>
        <w:tc>
          <w:tcPr>
            <w:tcW w:w="2280" w:type="dxa"/>
            <w:gridSpan w:val="3"/>
            <w:shd w:val="clear" w:color="auto" w:fill="808080"/>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混合式教学模式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648"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1569"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2417" w:type="dxa"/>
            <w:vMerge w:val="continue"/>
            <w:shd w:val="clear" w:color="auto" w:fill="969696"/>
            <w:vAlign w:val="center"/>
          </w:tcPr>
          <w:p>
            <w:pPr>
              <w:jc w:val="center"/>
              <w:rPr>
                <w:rFonts w:hint="default" w:ascii="华文细黑" w:hAnsi="华文细黑" w:eastAsia="华文细黑" w:cs="华文细黑"/>
                <w:b/>
                <w:bCs/>
                <w:i w:val="0"/>
                <w:iCs w:val="0"/>
                <w:color w:val="000000"/>
                <w:sz w:val="20"/>
                <w:szCs w:val="20"/>
                <w:u w:val="none"/>
              </w:rPr>
            </w:pPr>
          </w:p>
        </w:tc>
        <w:tc>
          <w:tcPr>
            <w:tcW w:w="961" w:type="dxa"/>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56"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c>
          <w:tcPr>
            <w:tcW w:w="1193" w:type="dxa"/>
            <w:gridSpan w:val="2"/>
            <w:shd w:val="clear" w:color="auto" w:fill="969696"/>
            <w:vAlign w:val="center"/>
          </w:tcPr>
          <w:p>
            <w:pPr>
              <w:keepNext w:val="0"/>
              <w:keepLines w:val="0"/>
              <w:widowControl/>
              <w:suppressLineNumbers w:val="0"/>
              <w:jc w:val="right"/>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推荐学分</w:t>
            </w:r>
          </w:p>
        </w:tc>
        <w:tc>
          <w:tcPr>
            <w:tcW w:w="1087" w:type="dxa"/>
            <w:shd w:val="clear" w:color="auto" w:fill="969696"/>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0000"/>
                <w:sz w:val="20"/>
                <w:szCs w:val="20"/>
                <w:u w:val="none"/>
              </w:rPr>
            </w:pPr>
            <w:r>
              <w:rPr>
                <w:rFonts w:hint="default" w:ascii="华文细黑" w:hAnsi="华文细黑" w:eastAsia="华文细黑" w:cs="华文细黑"/>
                <w:b/>
                <w:bCs/>
                <w:i w:val="0"/>
                <w:iCs w:val="0"/>
                <w:color w:val="000000"/>
                <w:kern w:val="0"/>
                <w:sz w:val="20"/>
                <w:szCs w:val="20"/>
                <w:u w:val="none"/>
                <w:lang w:val="en-US" w:eastAsia="zh-CN" w:bidi="ar"/>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人类思维与学科史论：历史学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范丁梁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许子东重读鲁迅</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许子东</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香港岭南大学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世界遗产与文明互鉴</w:t>
            </w:r>
            <w:r>
              <w:rPr>
                <w:rFonts w:hint="default" w:ascii="华文细黑" w:hAnsi="华文细黑" w:eastAsia="华文细黑" w:cs="华文细黑"/>
                <w:i w:val="0"/>
                <w:iCs w:val="0"/>
                <w:color w:val="000000"/>
                <w:kern w:val="0"/>
                <w:sz w:val="20"/>
                <w:szCs w:val="20"/>
                <w:u w:val="none"/>
                <w:lang w:val="en-US" w:eastAsia="zh-CN" w:bidi="ar"/>
              </w:rPr>
              <w:br w:type="textWrapping"/>
            </w:r>
            <w:r>
              <w:rPr>
                <w:rFonts w:hint="default" w:ascii="华文细黑" w:hAnsi="华文细黑" w:eastAsia="华文细黑" w:cs="华文细黑"/>
                <w:i w:val="0"/>
                <w:iCs w:val="0"/>
                <w:color w:val="000000"/>
                <w:kern w:val="0"/>
                <w:sz w:val="20"/>
                <w:szCs w:val="20"/>
                <w:u w:val="none"/>
                <w:lang w:val="en-US" w:eastAsia="zh-CN" w:bidi="ar"/>
              </w:rPr>
              <w:t>（原“人类遗产与文明互鉴”升级版）</w:t>
            </w:r>
          </w:p>
        </w:tc>
        <w:tc>
          <w:tcPr>
            <w:tcW w:w="1569" w:type="dxa"/>
            <w:shd w:val="clear" w:color="auto" w:fill="FFFFFF"/>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黄松</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648"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新媒体概论</w:t>
            </w:r>
          </w:p>
        </w:tc>
        <w:tc>
          <w:tcPr>
            <w:tcW w:w="1569"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韦路</w:t>
            </w:r>
          </w:p>
        </w:tc>
        <w:tc>
          <w:tcPr>
            <w:tcW w:w="241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193" w:type="dxa"/>
            <w:gridSpan w:val="2"/>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哲学基础</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肖薇薇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顺德职业技术学院</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群芳谱：《红楼梦》中的女性形象鉴赏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韩秀华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长安大学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推开经济学之门</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程蹊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中南民族大学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汉字文化解密</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王洪涌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华中师范大学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17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李白导读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海滨</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海南大学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江南史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黄纯艳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华东师范大学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11</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体育中国</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顾晓英</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刘兵</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聂永有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戴世强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陆小聪</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徐春毅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申亮</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邱丕相</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刘静</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杨小明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张轶</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秦文宏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刘立起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张统一</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中国科学院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曾朝恭</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刘寅斌</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时静</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文化遗产与自然遗产</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李江敏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中国地质大学（武汉）</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先秦诸子导读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何善蒙</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c>
          <w:tcPr>
            <w:tcW w:w="1648"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中国商贸文化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成光琳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河南经贸职业学院</w:t>
            </w:r>
          </w:p>
        </w:tc>
        <w:tc>
          <w:tcPr>
            <w:tcW w:w="961"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vMerge w:val="restart"/>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杜柳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河南经贸职业学院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王彦峰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河南经贸职业学院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张素子</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河南经贸职业学院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王建强</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河南经贸职业学院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648"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温晓明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河南经贸职业学院</w:t>
            </w:r>
          </w:p>
        </w:tc>
        <w:tc>
          <w:tcPr>
            <w:tcW w:w="961"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56"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193" w:type="dxa"/>
            <w:gridSpan w:val="2"/>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c>
          <w:tcPr>
            <w:tcW w:w="1087" w:type="dxa"/>
            <w:vMerge w:val="continue"/>
            <w:shd w:val="clear" w:color="auto" w:fill="auto"/>
            <w:vAlign w:val="center"/>
          </w:tcPr>
          <w:p>
            <w:pPr>
              <w:jc w:val="center"/>
              <w:rPr>
                <w:rFonts w:hint="default" w:ascii="华文细黑" w:hAnsi="华文细黑" w:eastAsia="华文细黑" w:cs="华文细黑"/>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跨文化交际</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张晶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浙江农林大学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古典诗词鉴赏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骆玉明</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中华诗词之美</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叶嘉莹</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南开大学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中国古典小说鉴赏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沈鸣鸣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走近大诗人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戴建业</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华中师范大学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21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发现唐诗宋词</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刘学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中国现代文学名家名作</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温儒敏</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北京大学/山东大学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4</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中国现代文学名著选讲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段怀清</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中国当代小说选读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金理</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中华传统文化之文学瑰宝</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沈鸣鸣</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同济大学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10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诗意的人学：西方文学名著欣赏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蒋承勇</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浙江工商大学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15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媒体创意经济：玩转互联网时代</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童清艳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上海交通大学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新媒体环境下的品牌策划</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吴祐昕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江南大学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19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28</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情商与智慧人生</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董宇艳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海南师范大学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29</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心理学的智慧</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许科</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上海大学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30</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幸福心理学</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费俊峰</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18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31</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世界文明史</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周巩固 等</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东北师范大学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10</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32</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欧洲文明概论</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朱孝远</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北京大学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33</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葡萄酒与西方文化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尹克林</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西南大学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13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34</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考古与人类</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高蒙河</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复旦大学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34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35</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带您走进西藏</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更登磋</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西藏民族大学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 </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26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 </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36</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文化差异与跨文化交际</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曾利娟</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郑州大学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12</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7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37</w:t>
            </w:r>
          </w:p>
        </w:tc>
        <w:tc>
          <w:tcPr>
            <w:tcW w:w="1648"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《西游记》与中国传统文化</w:t>
            </w:r>
          </w:p>
        </w:tc>
        <w:tc>
          <w:tcPr>
            <w:tcW w:w="1569"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成云雷</w:t>
            </w:r>
          </w:p>
        </w:tc>
        <w:tc>
          <w:tcPr>
            <w:tcW w:w="241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南通大学</w:t>
            </w:r>
          </w:p>
        </w:tc>
        <w:tc>
          <w:tcPr>
            <w:tcW w:w="961"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56"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12 </w:t>
            </w:r>
          </w:p>
        </w:tc>
        <w:tc>
          <w:tcPr>
            <w:tcW w:w="1193" w:type="dxa"/>
            <w:gridSpan w:val="2"/>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1</w:t>
            </w:r>
          </w:p>
        </w:tc>
        <w:tc>
          <w:tcPr>
            <w:tcW w:w="1087" w:type="dxa"/>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20"/>
                <w:szCs w:val="20"/>
                <w:u w:val="none"/>
              </w:rPr>
            </w:pPr>
            <w:r>
              <w:rPr>
                <w:rFonts w:hint="default" w:ascii="华文细黑" w:hAnsi="华文细黑" w:eastAsia="华文细黑" w:cs="华文细黑"/>
                <w:i w:val="0"/>
                <w:iCs w:val="0"/>
                <w:color w:val="000000"/>
                <w:kern w:val="0"/>
                <w:sz w:val="20"/>
                <w:szCs w:val="20"/>
                <w:u w:val="none"/>
                <w:lang w:val="en-US" w:eastAsia="zh-CN" w:bidi="ar"/>
              </w:rPr>
              <w:t xml:space="preserve">20 </w:t>
            </w:r>
          </w:p>
        </w:tc>
      </w:tr>
    </w:tbl>
    <w:p>
      <w:pPr>
        <w:widowControl w:val="0"/>
        <w:numPr>
          <w:ilvl w:val="0"/>
          <w:numId w:val="0"/>
        </w:numPr>
        <w:autoSpaceDE w:val="0"/>
        <w:autoSpaceDN w:val="0"/>
        <w:adjustRightInd w:val="0"/>
        <w:rPr>
          <w:rFonts w:hint="eastAsia" w:ascii="黑体" w:hAnsi="Times New Roman" w:eastAsia="黑体" w:cs="黑体"/>
          <w:color w:val="000000"/>
          <w:sz w:val="24"/>
          <w:szCs w:val="24"/>
          <w:lang w:val="en-US" w:eastAsia="zh-CN" w:bidi="ar-SA"/>
        </w:rPr>
      </w:pPr>
    </w:p>
    <w:p>
      <w:pPr>
        <w:widowControl w:val="0"/>
        <w:numPr>
          <w:ilvl w:val="0"/>
          <w:numId w:val="0"/>
        </w:numPr>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注：</w:t>
      </w:r>
      <w:r>
        <w:rPr>
          <w:rFonts w:hint="eastAsia" w:ascii="宋体" w:hAnsi="宋体" w:eastAsia="宋体" w:cs="宋体"/>
          <w:bCs/>
          <w:kern w:val="2"/>
          <w:sz w:val="24"/>
          <w:szCs w:val="24"/>
          <w:lang w:val="en-US" w:eastAsia="zh-CN" w:bidi="ar-SA"/>
        </w:rPr>
        <w:t>★</w:t>
      </w:r>
      <w:r>
        <w:rPr>
          <w:rFonts w:hint="eastAsia" w:ascii="宋体" w:hAnsi="宋体" w:eastAsia="宋体" w:cs="宋体"/>
          <w:kern w:val="2"/>
          <w:sz w:val="24"/>
          <w:szCs w:val="24"/>
          <w:lang w:val="en-US" w:eastAsia="zh-CN" w:bidi="ar-SA"/>
        </w:rPr>
        <w:t>供应商提供的课程必须与上述课程清单符合度达到90%以上。</w:t>
      </w:r>
    </w:p>
    <w:p>
      <w:pPr>
        <w:keepNext/>
        <w:keepLines/>
        <w:ind w:left="432" w:hanging="432"/>
        <w:outlineLvl w:val="0"/>
        <w:rPr>
          <w:rFonts w:hint="eastAsia" w:ascii="Calibri" w:hAnsi="Calibri" w:eastAsia="宋体" w:cs="Times New Roman"/>
          <w:b/>
          <w:bCs/>
          <w:kern w:val="44"/>
          <w:sz w:val="24"/>
          <w:szCs w:val="24"/>
        </w:rPr>
      </w:pPr>
      <w:bookmarkStart w:id="4" w:name="_Toc336854286"/>
    </w:p>
    <w:p>
      <w:pPr>
        <w:rPr>
          <w:rFonts w:hint="eastAsia" w:ascii="Calibri" w:hAnsi="Calibri" w:eastAsia="宋体" w:cs="Times New Roman"/>
          <w:b/>
          <w:sz w:val="28"/>
          <w:szCs w:val="28"/>
          <w:lang w:eastAsia="zh-CN"/>
        </w:rPr>
      </w:pPr>
      <w:r>
        <w:rPr>
          <w:rFonts w:hint="eastAsia" w:ascii="Calibri" w:hAnsi="Calibri" w:eastAsia="宋体" w:cs="Times New Roman"/>
          <w:b/>
          <w:sz w:val="28"/>
          <w:szCs w:val="28"/>
          <w:lang w:eastAsia="zh-CN"/>
        </w:rPr>
        <w:t>（三）</w:t>
      </w:r>
      <w:r>
        <w:rPr>
          <w:rFonts w:hint="eastAsia" w:ascii="Calibri" w:hAnsi="Calibri" w:eastAsia="宋体" w:cs="Times New Roman"/>
          <w:b/>
          <w:sz w:val="28"/>
          <w:szCs w:val="28"/>
          <w:lang w:val="en-US" w:eastAsia="zh-CN"/>
        </w:rPr>
        <w:t>分项明细报价</w:t>
      </w:r>
    </w:p>
    <w:p>
      <w:pPr>
        <w:keepNext/>
        <w:keepLines/>
        <w:ind w:left="432" w:hanging="432"/>
        <w:outlineLvl w:val="0"/>
        <w:rPr>
          <w:rFonts w:hint="eastAsia" w:ascii="Calibri" w:hAnsi="Calibri" w:eastAsia="宋体" w:cs="Times New Roman"/>
          <w:b/>
          <w:bCs/>
          <w:kern w:val="44"/>
          <w:sz w:val="24"/>
          <w:szCs w:val="24"/>
        </w:rPr>
      </w:pPr>
    </w:p>
    <w:tbl>
      <w:tblPr>
        <w:tblStyle w:val="34"/>
        <w:tblW w:w="9962"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2149"/>
        <w:gridCol w:w="1476"/>
        <w:gridCol w:w="1015"/>
        <w:gridCol w:w="1301"/>
        <w:gridCol w:w="1169"/>
        <w:gridCol w:w="1269"/>
        <w:gridCol w:w="774"/>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3" w:hRule="exact"/>
          <w:jc w:val="center"/>
        </w:trPr>
        <w:tc>
          <w:tcPr>
            <w:tcW w:w="809"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序号</w:t>
            </w:r>
          </w:p>
        </w:tc>
        <w:tc>
          <w:tcPr>
            <w:tcW w:w="2149"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分项名称</w:t>
            </w:r>
          </w:p>
        </w:tc>
        <w:tc>
          <w:tcPr>
            <w:tcW w:w="1476"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规格型号</w:t>
            </w:r>
          </w:p>
        </w:tc>
        <w:tc>
          <w:tcPr>
            <w:tcW w:w="1015"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单位</w:t>
            </w:r>
          </w:p>
        </w:tc>
        <w:tc>
          <w:tcPr>
            <w:tcW w:w="1301"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数量</w:t>
            </w:r>
          </w:p>
        </w:tc>
        <w:tc>
          <w:tcPr>
            <w:tcW w:w="11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rPr>
              <w:t>单价</w:t>
            </w:r>
            <w:r>
              <w:rPr>
                <w:rFonts w:hint="eastAsia" w:ascii="宋体" w:hAnsi="宋体" w:eastAsia="宋体" w:cs="Times New Roman"/>
                <w:sz w:val="24"/>
                <w:lang w:eastAsia="zh-CN"/>
              </w:rPr>
              <w:t>（</w:t>
            </w:r>
            <w:r>
              <w:rPr>
                <w:rFonts w:hint="eastAsia" w:ascii="宋体" w:hAnsi="宋体" w:eastAsia="宋体" w:cs="Times New Roman"/>
                <w:sz w:val="24"/>
                <w:lang w:val="en-US" w:eastAsia="zh-CN"/>
              </w:rPr>
              <w:t>元）</w:t>
            </w:r>
          </w:p>
        </w:tc>
        <w:tc>
          <w:tcPr>
            <w:tcW w:w="12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rPr>
              <w:t>金额</w:t>
            </w:r>
            <w:r>
              <w:rPr>
                <w:rFonts w:hint="eastAsia" w:ascii="宋体" w:hAnsi="宋体" w:eastAsia="宋体" w:cs="Times New Roman"/>
                <w:sz w:val="24"/>
                <w:lang w:eastAsia="zh-CN"/>
              </w:rPr>
              <w:t>（</w:t>
            </w:r>
            <w:r>
              <w:rPr>
                <w:rFonts w:hint="eastAsia" w:ascii="宋体" w:hAnsi="宋体" w:eastAsia="宋体" w:cs="Times New Roman"/>
                <w:sz w:val="24"/>
                <w:lang w:val="en-US" w:eastAsia="zh-CN"/>
              </w:rPr>
              <w:t>元）</w:t>
            </w:r>
          </w:p>
        </w:tc>
        <w:tc>
          <w:tcPr>
            <w:tcW w:w="774"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98" w:hRule="atLeast"/>
          <w:jc w:val="center"/>
        </w:trPr>
        <w:tc>
          <w:tcPr>
            <w:tcW w:w="809"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1</w:t>
            </w:r>
          </w:p>
        </w:tc>
        <w:tc>
          <w:tcPr>
            <w:tcW w:w="2149" w:type="dxa"/>
            <w:noWrap w:val="0"/>
            <w:vAlign w:val="center"/>
          </w:tcPr>
          <w:p>
            <w:pPr>
              <w:spacing w:line="360" w:lineRule="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网课课程资源</w:t>
            </w:r>
          </w:p>
        </w:tc>
        <w:tc>
          <w:tcPr>
            <w:tcW w:w="1476"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定制</w:t>
            </w:r>
          </w:p>
        </w:tc>
        <w:tc>
          <w:tcPr>
            <w:tcW w:w="1015"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门</w:t>
            </w:r>
          </w:p>
        </w:tc>
        <w:tc>
          <w:tcPr>
            <w:tcW w:w="1301"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400</w:t>
            </w:r>
          </w:p>
        </w:tc>
        <w:tc>
          <w:tcPr>
            <w:tcW w:w="11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195</w:t>
            </w:r>
          </w:p>
        </w:tc>
        <w:tc>
          <w:tcPr>
            <w:tcW w:w="12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78000</w:t>
            </w:r>
            <w:bookmarkStart w:id="5" w:name="_GoBack"/>
            <w:bookmarkEnd w:id="5"/>
          </w:p>
        </w:tc>
        <w:tc>
          <w:tcPr>
            <w:tcW w:w="774"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一年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74" w:hRule="atLeast"/>
          <w:jc w:val="center"/>
        </w:trPr>
        <w:tc>
          <w:tcPr>
            <w:tcW w:w="809"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2</w:t>
            </w:r>
          </w:p>
        </w:tc>
        <w:tc>
          <w:tcPr>
            <w:tcW w:w="2149" w:type="dxa"/>
            <w:noWrap w:val="0"/>
            <w:vAlign w:val="center"/>
          </w:tcPr>
          <w:p>
            <w:pPr>
              <w:spacing w:line="360" w:lineRule="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配套学习平台</w:t>
            </w:r>
          </w:p>
        </w:tc>
        <w:tc>
          <w:tcPr>
            <w:tcW w:w="1476"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定制</w:t>
            </w:r>
          </w:p>
        </w:tc>
        <w:tc>
          <w:tcPr>
            <w:tcW w:w="1015"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套</w:t>
            </w:r>
          </w:p>
        </w:tc>
        <w:tc>
          <w:tcPr>
            <w:tcW w:w="1301"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1</w:t>
            </w:r>
          </w:p>
        </w:tc>
        <w:tc>
          <w:tcPr>
            <w:tcW w:w="11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10000</w:t>
            </w:r>
          </w:p>
        </w:tc>
        <w:tc>
          <w:tcPr>
            <w:tcW w:w="12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10000</w:t>
            </w:r>
          </w:p>
        </w:tc>
        <w:tc>
          <w:tcPr>
            <w:tcW w:w="774" w:type="dxa"/>
            <w:noWrap w:val="0"/>
            <w:vAlign w:val="center"/>
          </w:tcPr>
          <w:p>
            <w:pPr>
              <w:spacing w:line="360" w:lineRule="auto"/>
              <w:jc w:val="center"/>
              <w:rPr>
                <w:rFonts w:hint="eastAsia" w:ascii="宋体" w:hAnsi="宋体" w:eastAsia="宋体" w:cs="Times New Roman"/>
                <w:sz w:val="24"/>
                <w:lang w:val="en-US" w:eastAsia="zh-CN"/>
              </w:rPr>
            </w:pPr>
            <w:r>
              <w:rPr>
                <w:rFonts w:hint="eastAsia" w:ascii="宋体" w:hAnsi="宋体" w:eastAsia="宋体" w:cs="Times New Roman"/>
                <w:sz w:val="24"/>
                <w:lang w:val="en-US" w:eastAsia="zh-CN"/>
              </w:rPr>
              <w:t>一年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2" w:hRule="atLeast"/>
          <w:jc w:val="center"/>
        </w:trPr>
        <w:tc>
          <w:tcPr>
            <w:tcW w:w="809"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3</w:t>
            </w:r>
          </w:p>
        </w:tc>
        <w:tc>
          <w:tcPr>
            <w:tcW w:w="2149" w:type="dxa"/>
            <w:noWrap w:val="0"/>
            <w:vAlign w:val="center"/>
          </w:tcPr>
          <w:p>
            <w:pPr>
              <w:spacing w:line="360" w:lineRule="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配套学习APP</w:t>
            </w:r>
          </w:p>
        </w:tc>
        <w:tc>
          <w:tcPr>
            <w:tcW w:w="1476" w:type="dxa"/>
            <w:noWrap w:val="0"/>
            <w:vAlign w:val="center"/>
          </w:tcPr>
          <w:p>
            <w:pPr>
              <w:spacing w:line="360" w:lineRule="auto"/>
              <w:jc w:val="center"/>
              <w:rPr>
                <w:rFonts w:ascii="宋体" w:hAnsi="宋体" w:eastAsia="宋体" w:cs="Times New Roman"/>
                <w:sz w:val="24"/>
              </w:rPr>
            </w:pPr>
            <w:r>
              <w:rPr>
                <w:rFonts w:hint="eastAsia" w:ascii="宋体" w:hAnsi="宋体" w:eastAsia="宋体" w:cs="Times New Roman"/>
                <w:sz w:val="24"/>
              </w:rPr>
              <w:t>定制</w:t>
            </w:r>
          </w:p>
        </w:tc>
        <w:tc>
          <w:tcPr>
            <w:tcW w:w="1015" w:type="dxa"/>
            <w:noWrap w:val="0"/>
            <w:vAlign w:val="center"/>
          </w:tcPr>
          <w:p>
            <w:pPr>
              <w:spacing w:line="360" w:lineRule="auto"/>
              <w:jc w:val="center"/>
              <w:rPr>
                <w:rFonts w:hint="eastAsia" w:ascii="宋体" w:hAnsi="宋体" w:eastAsia="宋体" w:cs="Times New Roman"/>
                <w:sz w:val="24"/>
                <w:lang w:val="en-US" w:eastAsia="zh-CN"/>
              </w:rPr>
            </w:pPr>
            <w:r>
              <w:rPr>
                <w:rFonts w:hint="eastAsia" w:ascii="宋体" w:hAnsi="宋体" w:eastAsia="宋体" w:cs="Times New Roman"/>
                <w:sz w:val="24"/>
                <w:lang w:val="en-US" w:eastAsia="zh-CN"/>
              </w:rPr>
              <w:t>套</w:t>
            </w:r>
          </w:p>
        </w:tc>
        <w:tc>
          <w:tcPr>
            <w:tcW w:w="1301"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1</w:t>
            </w:r>
          </w:p>
        </w:tc>
        <w:tc>
          <w:tcPr>
            <w:tcW w:w="11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5000</w:t>
            </w:r>
          </w:p>
        </w:tc>
        <w:tc>
          <w:tcPr>
            <w:tcW w:w="12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5000</w:t>
            </w:r>
          </w:p>
        </w:tc>
        <w:tc>
          <w:tcPr>
            <w:tcW w:w="774" w:type="dxa"/>
            <w:noWrap w:val="0"/>
            <w:vAlign w:val="center"/>
          </w:tcPr>
          <w:p>
            <w:pPr>
              <w:spacing w:line="360" w:lineRule="auto"/>
              <w:jc w:val="center"/>
              <w:rPr>
                <w:rFonts w:hint="eastAsia" w:ascii="宋体" w:hAnsi="宋体" w:eastAsia="宋体" w:cs="Times New Roman"/>
                <w:sz w:val="24"/>
                <w:lang w:val="en-US" w:eastAsia="zh-CN"/>
              </w:rPr>
            </w:pPr>
            <w:r>
              <w:rPr>
                <w:rFonts w:hint="eastAsia" w:ascii="宋体" w:hAnsi="宋体" w:eastAsia="宋体" w:cs="Times New Roman"/>
                <w:sz w:val="24"/>
                <w:lang w:val="en-US" w:eastAsia="zh-CN"/>
              </w:rPr>
              <w:t>一年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2" w:hRule="atLeast"/>
          <w:jc w:val="center"/>
        </w:trPr>
        <w:tc>
          <w:tcPr>
            <w:tcW w:w="809" w:type="dxa"/>
            <w:noWrap w:val="0"/>
            <w:vAlign w:val="center"/>
          </w:tcPr>
          <w:p>
            <w:pPr>
              <w:spacing w:line="360" w:lineRule="auto"/>
              <w:jc w:val="center"/>
              <w:rPr>
                <w:rFonts w:hint="eastAsia" w:ascii="宋体" w:hAnsi="宋体" w:eastAsia="宋体" w:cs="Times New Roman"/>
                <w:sz w:val="24"/>
                <w:lang w:val="en-US" w:eastAsia="zh-CN"/>
              </w:rPr>
            </w:pPr>
            <w:r>
              <w:rPr>
                <w:rFonts w:hint="eastAsia" w:ascii="宋体" w:hAnsi="宋体" w:eastAsia="宋体" w:cs="Times New Roman"/>
                <w:sz w:val="24"/>
                <w:lang w:val="en-US" w:eastAsia="zh-CN"/>
              </w:rPr>
              <w:t>4</w:t>
            </w:r>
          </w:p>
        </w:tc>
        <w:tc>
          <w:tcPr>
            <w:tcW w:w="2149" w:type="dxa"/>
            <w:noWrap w:val="0"/>
            <w:vAlign w:val="center"/>
          </w:tcPr>
          <w:p>
            <w:pPr>
              <w:spacing w:line="360" w:lineRule="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通识素养能力测评</w:t>
            </w:r>
          </w:p>
        </w:tc>
        <w:tc>
          <w:tcPr>
            <w:tcW w:w="1476" w:type="dxa"/>
            <w:noWrap w:val="0"/>
            <w:vAlign w:val="center"/>
          </w:tcPr>
          <w:p>
            <w:pPr>
              <w:spacing w:line="360" w:lineRule="auto"/>
              <w:jc w:val="center"/>
              <w:rPr>
                <w:rFonts w:hint="eastAsia" w:ascii="宋体" w:hAnsi="宋体" w:eastAsia="宋体" w:cs="Times New Roman"/>
                <w:sz w:val="24"/>
                <w:lang w:val="en-US" w:eastAsia="zh-CN"/>
              </w:rPr>
            </w:pPr>
            <w:r>
              <w:rPr>
                <w:rFonts w:hint="eastAsia" w:ascii="宋体" w:hAnsi="宋体" w:eastAsia="宋体" w:cs="Times New Roman"/>
                <w:sz w:val="24"/>
                <w:lang w:val="en-US" w:eastAsia="zh-CN"/>
              </w:rPr>
              <w:t>定制</w:t>
            </w:r>
          </w:p>
        </w:tc>
        <w:tc>
          <w:tcPr>
            <w:tcW w:w="1015"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套</w:t>
            </w:r>
          </w:p>
        </w:tc>
        <w:tc>
          <w:tcPr>
            <w:tcW w:w="1301"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1</w:t>
            </w:r>
          </w:p>
        </w:tc>
        <w:tc>
          <w:tcPr>
            <w:tcW w:w="11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5000</w:t>
            </w:r>
          </w:p>
        </w:tc>
        <w:tc>
          <w:tcPr>
            <w:tcW w:w="1269"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5000</w:t>
            </w:r>
          </w:p>
        </w:tc>
        <w:tc>
          <w:tcPr>
            <w:tcW w:w="774" w:type="dxa"/>
            <w:noWrap w:val="0"/>
            <w:vAlign w:val="center"/>
          </w:tcPr>
          <w:p>
            <w:pPr>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一年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2" w:hRule="atLeast"/>
          <w:jc w:val="center"/>
        </w:trPr>
        <w:tc>
          <w:tcPr>
            <w:tcW w:w="9962" w:type="dxa"/>
            <w:gridSpan w:val="8"/>
            <w:noWrap w:val="0"/>
            <w:vAlign w:val="center"/>
          </w:tcPr>
          <w:p>
            <w:pPr>
              <w:spacing w:line="360" w:lineRule="auto"/>
              <w:rPr>
                <w:rFonts w:hint="eastAsia" w:ascii="宋体" w:hAnsi="宋体" w:eastAsia="宋体" w:cs="Times New Roman"/>
                <w:sz w:val="24"/>
                <w:lang w:val="en-US" w:eastAsia="zh-CN"/>
              </w:rPr>
            </w:pPr>
            <w:r>
              <w:rPr>
                <w:rFonts w:hint="eastAsia" w:ascii="宋体" w:hAnsi="宋体" w:eastAsia="宋体" w:cs="Times New Roman"/>
                <w:sz w:val="24"/>
              </w:rPr>
              <w:t xml:space="preserve">分项报价合计（元）： </w:t>
            </w:r>
            <w:r>
              <w:rPr>
                <w:rFonts w:hint="eastAsia" w:ascii="宋体" w:hAnsi="宋体" w:eastAsia="宋体" w:cs="Times New Roman"/>
                <w:sz w:val="24"/>
                <w:lang w:val="en-US" w:eastAsia="zh-CN"/>
              </w:rPr>
              <w:t>98000</w:t>
            </w:r>
            <w:r>
              <w:rPr>
                <w:rFonts w:hint="eastAsia" w:ascii="宋体" w:hAnsi="宋体" w:eastAsia="宋体" w:cs="Times New Roman"/>
                <w:sz w:val="24"/>
              </w:rPr>
              <w:t xml:space="preserve">     大写：</w:t>
            </w:r>
            <w:r>
              <w:rPr>
                <w:rFonts w:hint="eastAsia" w:ascii="宋体" w:hAnsi="宋体" w:eastAsia="宋体" w:cs="Times New Roman"/>
                <w:sz w:val="24"/>
                <w:lang w:val="en-US" w:eastAsia="zh-CN"/>
              </w:rPr>
              <w:t>玖万捌仟元整</w:t>
            </w:r>
          </w:p>
        </w:tc>
      </w:tr>
    </w:tbl>
    <w:p>
      <w:pPr>
        <w:keepNext/>
        <w:keepLines/>
        <w:outlineLvl w:val="0"/>
        <w:rPr>
          <w:rFonts w:hint="eastAsia" w:ascii="Calibri" w:hAnsi="Calibri" w:eastAsia="宋体" w:cs="Times New Roman"/>
          <w:b/>
          <w:bCs/>
          <w:kern w:val="44"/>
          <w:sz w:val="24"/>
          <w:szCs w:val="24"/>
        </w:rPr>
      </w:pPr>
    </w:p>
    <w:p>
      <w:pPr>
        <w:jc w:val="left"/>
        <w:rPr>
          <w:rFonts w:hint="eastAsia" w:ascii="Calibri" w:hAnsi="Calibri" w:eastAsia="宋体" w:cs="Times New Roman"/>
          <w:b/>
          <w:sz w:val="28"/>
          <w:szCs w:val="28"/>
          <w:lang w:eastAsia="zh-CN"/>
        </w:rPr>
      </w:pPr>
    </w:p>
    <w:p>
      <w:pPr>
        <w:jc w:val="left"/>
        <w:rPr>
          <w:rFonts w:hint="eastAsia" w:ascii="Calibri" w:hAnsi="Calibri" w:eastAsia="宋体" w:cs="Times New Roman"/>
          <w:b/>
          <w:sz w:val="28"/>
          <w:szCs w:val="28"/>
          <w:lang w:eastAsia="zh-CN"/>
        </w:rPr>
      </w:pPr>
      <w:r>
        <w:rPr>
          <w:rFonts w:hint="eastAsia" w:ascii="Calibri" w:hAnsi="Calibri" w:eastAsia="宋体" w:cs="Times New Roman"/>
          <w:b/>
          <w:sz w:val="28"/>
          <w:szCs w:val="28"/>
          <w:lang w:eastAsia="zh-CN"/>
        </w:rPr>
        <w:t>（</w:t>
      </w:r>
      <w:r>
        <w:rPr>
          <w:rFonts w:hint="eastAsia" w:ascii="Calibri" w:hAnsi="Calibri" w:eastAsia="宋体" w:cs="Times New Roman"/>
          <w:b/>
          <w:sz w:val="28"/>
          <w:szCs w:val="28"/>
          <w:lang w:val="en-US" w:eastAsia="zh-CN"/>
        </w:rPr>
        <w:t>四</w:t>
      </w:r>
      <w:r>
        <w:rPr>
          <w:rFonts w:hint="eastAsia" w:ascii="Calibri" w:hAnsi="Calibri" w:eastAsia="宋体" w:cs="Times New Roman"/>
          <w:b/>
          <w:sz w:val="28"/>
          <w:szCs w:val="28"/>
          <w:lang w:eastAsia="zh-CN"/>
        </w:rPr>
        <w:t>）商务要求</w:t>
      </w:r>
      <w:bookmarkEnd w:id="4"/>
    </w:p>
    <w:p>
      <w:pPr>
        <w:spacing w:line="360" w:lineRule="auto"/>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1、通识课学习平台及移动学习平台提供免费升级1年；</w:t>
      </w:r>
    </w:p>
    <w:p>
      <w:pPr>
        <w:spacing w:line="360" w:lineRule="auto"/>
        <w:rPr>
          <w:rFonts w:hint="eastAsia" w:ascii="宋体" w:hAnsi="宋体" w:eastAsia="宋体" w:cs="Times New Roman"/>
          <w:b w:val="0"/>
          <w:bCs w:val="0"/>
          <w:sz w:val="24"/>
          <w:lang w:val="en-US" w:eastAsia="zh-CN"/>
        </w:rPr>
      </w:pPr>
      <w:r>
        <w:rPr>
          <w:rFonts w:hint="eastAsia" w:ascii="宋体" w:hAnsi="宋体" w:eastAsia="宋体" w:cs="Times New Roman"/>
          <w:b w:val="0"/>
          <w:bCs w:val="0"/>
          <w:sz w:val="24"/>
          <w:lang w:val="en-US" w:eastAsia="zh-CN"/>
        </w:rPr>
        <w:t>2、中标人提供的移动学习系统必须能与学校现有课程资源中心及网络教学平台进行无缝对接。</w:t>
      </w:r>
    </w:p>
    <w:p>
      <w:pPr>
        <w:spacing w:line="360" w:lineRule="auto"/>
        <w:rPr>
          <w:rFonts w:hint="eastAsia" w:ascii="宋体" w:hAnsi="宋体" w:eastAsia="宋体" w:cs="Times New Roman"/>
          <w:b w:val="0"/>
          <w:bCs w:val="0"/>
          <w:sz w:val="24"/>
          <w:lang w:val="en-US" w:eastAsia="zh-CN"/>
        </w:rPr>
      </w:pPr>
      <w:r>
        <w:rPr>
          <w:rFonts w:hint="eastAsia" w:ascii="宋体" w:hAnsi="宋体" w:eastAsia="宋体" w:cs="Times New Roman"/>
          <w:b w:val="0"/>
          <w:bCs w:val="0"/>
          <w:sz w:val="24"/>
          <w:lang w:val="en-US" w:eastAsia="zh-CN"/>
        </w:rPr>
        <w:t>3、中标人在中标结果发布后3个工作日内按招标文件中所述课程向用户方全部开通。</w:t>
      </w:r>
    </w:p>
    <w:p>
      <w:pPr>
        <w:spacing w:line="360" w:lineRule="auto"/>
        <w:rPr>
          <w:rFonts w:hint="eastAsia" w:ascii="宋体" w:hAnsi="宋体" w:eastAsia="宋体" w:cs="Times New Roman"/>
          <w:b w:val="0"/>
          <w:bCs w:val="0"/>
          <w:sz w:val="24"/>
          <w:lang w:val="en-US" w:eastAsia="zh-CN"/>
        </w:rPr>
      </w:pPr>
      <w:r>
        <w:rPr>
          <w:rFonts w:hint="eastAsia" w:ascii="宋体" w:hAnsi="宋体" w:eastAsia="宋体" w:cs="Times New Roman"/>
          <w:b w:val="0"/>
          <w:bCs w:val="0"/>
          <w:sz w:val="24"/>
          <w:lang w:val="en-US" w:eastAsia="zh-CN"/>
        </w:rPr>
        <w:t>4、服务商提供验收数据和佐证数据或材料，我方按照验收标准逐一审定，符合条件可予以验收通过。预中标后，学校将在三天内组织供应商对备注的带“★”重点技术参数指标进行逐一验证，不满足的会严重影响学校使用，学校将不予接受，取消中标资格，追究法律责任。</w:t>
      </w:r>
    </w:p>
    <w:p>
      <w:pPr>
        <w:jc w:val="center"/>
        <w:rPr>
          <w:rFonts w:ascii="Calibri" w:hAnsi="Calibri" w:eastAsia="宋体" w:cs="Times New Roman"/>
          <w:b/>
          <w:sz w:val="24"/>
          <w:szCs w:val="24"/>
        </w:rPr>
      </w:pPr>
    </w:p>
    <w:p>
      <w:pPr>
        <w:rPr>
          <w:rFonts w:ascii="Calibri" w:hAnsi="Calibri" w:eastAsia="宋体" w:cs="Times New Roman"/>
          <w:b/>
          <w:sz w:val="24"/>
          <w:szCs w:val="24"/>
        </w:rPr>
      </w:pPr>
    </w:p>
    <w:p>
      <w:pPr>
        <w:rPr>
          <w:rFonts w:ascii="Calibri" w:hAnsi="Calibri" w:eastAsia="宋体" w:cs="Times New Roman"/>
          <w:b/>
          <w:sz w:val="24"/>
          <w:szCs w:val="24"/>
        </w:rPr>
      </w:pPr>
    </w:p>
    <w:p>
      <w:pPr>
        <w:rPr>
          <w:rFonts w:ascii="Calibri" w:hAnsi="Calibri" w:eastAsia="宋体" w:cs="Times New Roman"/>
          <w:b/>
          <w:sz w:val="24"/>
          <w:szCs w:val="24"/>
        </w:rPr>
      </w:pPr>
    </w:p>
    <w:p>
      <w:pPr>
        <w:pStyle w:val="2"/>
        <w:rPr>
          <w:rFonts w:hint="eastAsia"/>
          <w:lang w:val="en-US" w:eastAsia="zh-CN"/>
        </w:rPr>
      </w:pPr>
    </w:p>
    <w:p>
      <w:pPr>
        <w:keepNext/>
        <w:keepLines/>
        <w:widowControl w:val="0"/>
        <w:numPr>
          <w:ilvl w:val="0"/>
          <w:numId w:val="0"/>
        </w:numPr>
        <w:spacing w:before="340" w:beforeLines="0" w:beforeAutospacing="0" w:after="330" w:afterLines="0" w:afterAutospacing="0" w:line="360" w:lineRule="auto"/>
        <w:ind w:left="420" w:leftChars="0" w:hanging="420" w:firstLineChars="0"/>
        <w:jc w:val="center"/>
        <w:outlineLvl w:val="0"/>
        <w:rPr>
          <w:rFonts w:hint="eastAsia" w:ascii="宋体" w:hAnsi="宋体" w:eastAsia="宋体" w:cs="宋体"/>
          <w:b/>
          <w:kern w:val="44"/>
          <w:sz w:val="32"/>
          <w:szCs w:val="32"/>
          <w:lang w:val="en-US" w:eastAsia="zh-CN" w:bidi="ar-SA"/>
        </w:rPr>
      </w:pPr>
    </w:p>
    <w:p>
      <w:pPr>
        <w:keepNext/>
        <w:keepLines/>
        <w:widowControl w:val="0"/>
        <w:numPr>
          <w:ilvl w:val="0"/>
          <w:numId w:val="0"/>
        </w:numPr>
        <w:spacing w:before="340" w:beforeLines="0" w:beforeAutospacing="0" w:after="330" w:afterLines="0" w:afterAutospacing="0" w:line="360" w:lineRule="auto"/>
        <w:ind w:left="420" w:leftChars="0" w:hanging="420" w:firstLineChars="0"/>
        <w:jc w:val="center"/>
        <w:outlineLvl w:val="0"/>
        <w:rPr>
          <w:rFonts w:hint="eastAsia" w:ascii="宋体" w:hAnsi="宋体" w:eastAsia="宋体" w:cs="宋体"/>
          <w:b/>
          <w:kern w:val="44"/>
          <w:sz w:val="32"/>
          <w:szCs w:val="32"/>
          <w:lang w:val="en-US" w:eastAsia="zh-CN" w:bidi="ar-SA"/>
        </w:rPr>
      </w:pPr>
    </w:p>
    <w:p>
      <w:pPr>
        <w:pStyle w:val="2"/>
        <w:rPr>
          <w:rFonts w:hint="eastAsia"/>
          <w:lang w:val="en-US" w:eastAsia="zh-CN"/>
        </w:rPr>
      </w:pP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iconfont">
    <w:altName w:val="Segoe Print"/>
    <w:panose1 w:val="00000000000000000000"/>
    <w:charset w:val="00"/>
    <w:family w:val="auto"/>
    <w:pitch w:val="default"/>
    <w:sig w:usb0="00000000" w:usb1="00000000" w:usb2="00000000" w:usb3="00000000" w:csb0="00000000" w:csb1="00000000"/>
  </w:font>
  <w:font w:name="华文细黑">
    <w:altName w:val="微软雅黑"/>
    <w:panose1 w:val="02010600040101010101"/>
    <w:charset w:val="86"/>
    <w:family w:val="auto"/>
    <w:pitch w:val="default"/>
    <w:sig w:usb0="00000000" w:usb1="0000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BE2212"/>
    <w:multiLevelType w:val="singleLevel"/>
    <w:tmpl w:val="FFBE2212"/>
    <w:lvl w:ilvl="0" w:tentative="0">
      <w:start w:val="2"/>
      <w:numFmt w:val="chineseCounting"/>
      <w:suff w:val="nothing"/>
      <w:lvlText w:val="（%1）"/>
      <w:lvlJc w:val="left"/>
      <w:rPr>
        <w:rFonts w:hint="eastAsia"/>
      </w:rPr>
    </w:lvl>
  </w:abstractNum>
  <w:abstractNum w:abstractNumId="1">
    <w:nsid w:val="0C7C1ACF"/>
    <w:multiLevelType w:val="multilevel"/>
    <w:tmpl w:val="0C7C1ACF"/>
    <w:lvl w:ilvl="0" w:tentative="0">
      <w:start w:val="1"/>
      <w:numFmt w:val="decimal"/>
      <w:lvlText w:val="(%1)"/>
      <w:lvlJc w:val="left"/>
      <w:pPr>
        <w:ind w:left="451" w:hanging="420"/>
      </w:pPr>
      <w:rPr>
        <w:rFonts w:hint="eastAsia" w:cs="Times New Roman"/>
      </w:rPr>
    </w:lvl>
    <w:lvl w:ilvl="1" w:tentative="0">
      <w:start w:val="1"/>
      <w:numFmt w:val="lowerLetter"/>
      <w:lvlText w:val="%2)"/>
      <w:lvlJc w:val="left"/>
      <w:pPr>
        <w:ind w:left="871" w:hanging="420"/>
      </w:pPr>
      <w:rPr>
        <w:rFonts w:cs="Times New Roman"/>
      </w:rPr>
    </w:lvl>
    <w:lvl w:ilvl="2" w:tentative="0">
      <w:start w:val="1"/>
      <w:numFmt w:val="lowerRoman"/>
      <w:lvlText w:val="%3."/>
      <w:lvlJc w:val="right"/>
      <w:pPr>
        <w:ind w:left="1291" w:hanging="420"/>
      </w:pPr>
      <w:rPr>
        <w:rFonts w:cs="Times New Roman"/>
      </w:rPr>
    </w:lvl>
    <w:lvl w:ilvl="3" w:tentative="0">
      <w:start w:val="1"/>
      <w:numFmt w:val="decimal"/>
      <w:lvlText w:val="%4."/>
      <w:lvlJc w:val="left"/>
      <w:pPr>
        <w:ind w:left="1711" w:hanging="420"/>
      </w:pPr>
      <w:rPr>
        <w:rFonts w:cs="Times New Roman"/>
      </w:rPr>
    </w:lvl>
    <w:lvl w:ilvl="4" w:tentative="0">
      <w:start w:val="1"/>
      <w:numFmt w:val="lowerLetter"/>
      <w:lvlText w:val="%5)"/>
      <w:lvlJc w:val="left"/>
      <w:pPr>
        <w:ind w:left="2131" w:hanging="420"/>
      </w:pPr>
      <w:rPr>
        <w:rFonts w:cs="Times New Roman"/>
      </w:rPr>
    </w:lvl>
    <w:lvl w:ilvl="5" w:tentative="0">
      <w:start w:val="1"/>
      <w:numFmt w:val="lowerRoman"/>
      <w:lvlText w:val="%6."/>
      <w:lvlJc w:val="right"/>
      <w:pPr>
        <w:ind w:left="2551" w:hanging="420"/>
      </w:pPr>
      <w:rPr>
        <w:rFonts w:cs="Times New Roman"/>
      </w:rPr>
    </w:lvl>
    <w:lvl w:ilvl="6" w:tentative="0">
      <w:start w:val="1"/>
      <w:numFmt w:val="decimal"/>
      <w:lvlText w:val="%7."/>
      <w:lvlJc w:val="left"/>
      <w:pPr>
        <w:ind w:left="2971" w:hanging="420"/>
      </w:pPr>
      <w:rPr>
        <w:rFonts w:cs="Times New Roman"/>
      </w:rPr>
    </w:lvl>
    <w:lvl w:ilvl="7" w:tentative="0">
      <w:start w:val="1"/>
      <w:numFmt w:val="lowerLetter"/>
      <w:lvlText w:val="%8)"/>
      <w:lvlJc w:val="left"/>
      <w:pPr>
        <w:ind w:left="3391" w:hanging="420"/>
      </w:pPr>
      <w:rPr>
        <w:rFonts w:cs="Times New Roman"/>
      </w:rPr>
    </w:lvl>
    <w:lvl w:ilvl="8" w:tentative="0">
      <w:start w:val="1"/>
      <w:numFmt w:val="lowerRoman"/>
      <w:lvlText w:val="%9."/>
      <w:lvlJc w:val="right"/>
      <w:pPr>
        <w:ind w:left="3811" w:hanging="420"/>
      </w:pPr>
      <w:rPr>
        <w:rFonts w:cs="Times New Roman"/>
      </w:rPr>
    </w:lvl>
  </w:abstractNum>
  <w:abstractNum w:abstractNumId="2">
    <w:nsid w:val="3E8C5499"/>
    <w:multiLevelType w:val="multilevel"/>
    <w:tmpl w:val="3E8C5499"/>
    <w:lvl w:ilvl="0" w:tentative="0">
      <w:start w:val="1"/>
      <w:numFmt w:val="decimal"/>
      <w:lvlText w:val="(%1)"/>
      <w:lvlJc w:val="left"/>
      <w:pPr>
        <w:ind w:left="451" w:hanging="420"/>
      </w:pPr>
      <w:rPr>
        <w:rFonts w:hint="eastAsia" w:cs="Times New Roman"/>
      </w:rPr>
    </w:lvl>
    <w:lvl w:ilvl="1" w:tentative="0">
      <w:start w:val="1"/>
      <w:numFmt w:val="lowerLetter"/>
      <w:lvlText w:val="%2)"/>
      <w:lvlJc w:val="left"/>
      <w:pPr>
        <w:ind w:left="871" w:hanging="420"/>
      </w:pPr>
      <w:rPr>
        <w:rFonts w:cs="Times New Roman"/>
      </w:rPr>
    </w:lvl>
    <w:lvl w:ilvl="2" w:tentative="0">
      <w:start w:val="1"/>
      <w:numFmt w:val="lowerRoman"/>
      <w:lvlText w:val="%3."/>
      <w:lvlJc w:val="right"/>
      <w:pPr>
        <w:ind w:left="1291" w:hanging="420"/>
      </w:pPr>
      <w:rPr>
        <w:rFonts w:cs="Times New Roman"/>
      </w:rPr>
    </w:lvl>
    <w:lvl w:ilvl="3" w:tentative="0">
      <w:start w:val="1"/>
      <w:numFmt w:val="decimal"/>
      <w:lvlText w:val="%4."/>
      <w:lvlJc w:val="left"/>
      <w:pPr>
        <w:ind w:left="1711" w:hanging="420"/>
      </w:pPr>
      <w:rPr>
        <w:rFonts w:cs="Times New Roman"/>
      </w:rPr>
    </w:lvl>
    <w:lvl w:ilvl="4" w:tentative="0">
      <w:start w:val="1"/>
      <w:numFmt w:val="lowerLetter"/>
      <w:lvlText w:val="%5)"/>
      <w:lvlJc w:val="left"/>
      <w:pPr>
        <w:ind w:left="2131" w:hanging="420"/>
      </w:pPr>
      <w:rPr>
        <w:rFonts w:cs="Times New Roman"/>
      </w:rPr>
    </w:lvl>
    <w:lvl w:ilvl="5" w:tentative="0">
      <w:start w:val="1"/>
      <w:numFmt w:val="lowerRoman"/>
      <w:lvlText w:val="%6."/>
      <w:lvlJc w:val="right"/>
      <w:pPr>
        <w:ind w:left="2551" w:hanging="420"/>
      </w:pPr>
      <w:rPr>
        <w:rFonts w:cs="Times New Roman"/>
      </w:rPr>
    </w:lvl>
    <w:lvl w:ilvl="6" w:tentative="0">
      <w:start w:val="1"/>
      <w:numFmt w:val="decimal"/>
      <w:lvlText w:val="%7."/>
      <w:lvlJc w:val="left"/>
      <w:pPr>
        <w:ind w:left="2971" w:hanging="420"/>
      </w:pPr>
      <w:rPr>
        <w:rFonts w:cs="Times New Roman"/>
      </w:rPr>
    </w:lvl>
    <w:lvl w:ilvl="7" w:tentative="0">
      <w:start w:val="1"/>
      <w:numFmt w:val="lowerLetter"/>
      <w:lvlText w:val="%8)"/>
      <w:lvlJc w:val="left"/>
      <w:pPr>
        <w:ind w:left="3391" w:hanging="420"/>
      </w:pPr>
      <w:rPr>
        <w:rFonts w:cs="Times New Roman"/>
      </w:rPr>
    </w:lvl>
    <w:lvl w:ilvl="8" w:tentative="0">
      <w:start w:val="1"/>
      <w:numFmt w:val="lowerRoman"/>
      <w:lvlText w:val="%9."/>
      <w:lvlJc w:val="right"/>
      <w:pPr>
        <w:ind w:left="3811" w:hanging="420"/>
      </w:pPr>
      <w:rPr>
        <w:rFonts w:cs="Times New Roman"/>
      </w:rPr>
    </w:lvl>
  </w:abstractNum>
  <w:abstractNum w:abstractNumId="3">
    <w:nsid w:val="753832D4"/>
    <w:multiLevelType w:val="multilevel"/>
    <w:tmpl w:val="753832D4"/>
    <w:lvl w:ilvl="0" w:tentative="0">
      <w:start w:val="1"/>
      <w:numFmt w:val="decimal"/>
      <w:lvlText w:val="(%1)"/>
      <w:lvlJc w:val="left"/>
      <w:pPr>
        <w:ind w:left="451" w:hanging="420"/>
      </w:pPr>
      <w:rPr>
        <w:rFonts w:hint="eastAsia" w:cs="Times New Roman"/>
      </w:rPr>
    </w:lvl>
    <w:lvl w:ilvl="1" w:tentative="0">
      <w:start w:val="1"/>
      <w:numFmt w:val="lowerLetter"/>
      <w:lvlText w:val="%2)"/>
      <w:lvlJc w:val="left"/>
      <w:pPr>
        <w:ind w:left="871" w:hanging="420"/>
      </w:pPr>
      <w:rPr>
        <w:rFonts w:cs="Times New Roman"/>
      </w:rPr>
    </w:lvl>
    <w:lvl w:ilvl="2" w:tentative="0">
      <w:start w:val="1"/>
      <w:numFmt w:val="lowerRoman"/>
      <w:lvlText w:val="%3."/>
      <w:lvlJc w:val="right"/>
      <w:pPr>
        <w:ind w:left="1291" w:hanging="420"/>
      </w:pPr>
      <w:rPr>
        <w:rFonts w:cs="Times New Roman"/>
      </w:rPr>
    </w:lvl>
    <w:lvl w:ilvl="3" w:tentative="0">
      <w:start w:val="1"/>
      <w:numFmt w:val="decimal"/>
      <w:lvlText w:val="%4."/>
      <w:lvlJc w:val="left"/>
      <w:pPr>
        <w:ind w:left="1711" w:hanging="420"/>
      </w:pPr>
      <w:rPr>
        <w:rFonts w:cs="Times New Roman"/>
      </w:rPr>
    </w:lvl>
    <w:lvl w:ilvl="4" w:tentative="0">
      <w:start w:val="1"/>
      <w:numFmt w:val="lowerLetter"/>
      <w:lvlText w:val="%5)"/>
      <w:lvlJc w:val="left"/>
      <w:pPr>
        <w:ind w:left="2131" w:hanging="420"/>
      </w:pPr>
      <w:rPr>
        <w:rFonts w:cs="Times New Roman"/>
      </w:rPr>
    </w:lvl>
    <w:lvl w:ilvl="5" w:tentative="0">
      <w:start w:val="1"/>
      <w:numFmt w:val="lowerRoman"/>
      <w:lvlText w:val="%6."/>
      <w:lvlJc w:val="right"/>
      <w:pPr>
        <w:ind w:left="2551" w:hanging="420"/>
      </w:pPr>
      <w:rPr>
        <w:rFonts w:cs="Times New Roman"/>
      </w:rPr>
    </w:lvl>
    <w:lvl w:ilvl="6" w:tentative="0">
      <w:start w:val="1"/>
      <w:numFmt w:val="decimal"/>
      <w:lvlText w:val="%7."/>
      <w:lvlJc w:val="left"/>
      <w:pPr>
        <w:ind w:left="2971" w:hanging="420"/>
      </w:pPr>
      <w:rPr>
        <w:rFonts w:cs="Times New Roman"/>
      </w:rPr>
    </w:lvl>
    <w:lvl w:ilvl="7" w:tentative="0">
      <w:start w:val="1"/>
      <w:numFmt w:val="lowerLetter"/>
      <w:lvlText w:val="%8)"/>
      <w:lvlJc w:val="left"/>
      <w:pPr>
        <w:ind w:left="3391" w:hanging="420"/>
      </w:pPr>
      <w:rPr>
        <w:rFonts w:cs="Times New Roman"/>
      </w:rPr>
    </w:lvl>
    <w:lvl w:ilvl="8" w:tentative="0">
      <w:start w:val="1"/>
      <w:numFmt w:val="lowerRoman"/>
      <w:lvlText w:val="%9."/>
      <w:lvlJc w:val="right"/>
      <w:pPr>
        <w:ind w:left="3811" w:hanging="42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30200"/>
    <w:rsid w:val="08BC4608"/>
    <w:rsid w:val="093B4766"/>
    <w:rsid w:val="0A854A2B"/>
    <w:rsid w:val="0ABD57CC"/>
    <w:rsid w:val="0AE87F1A"/>
    <w:rsid w:val="0B59604C"/>
    <w:rsid w:val="0B831F9A"/>
    <w:rsid w:val="0C2D1C9E"/>
    <w:rsid w:val="0C8D7DF3"/>
    <w:rsid w:val="0CAB3131"/>
    <w:rsid w:val="0DF7766E"/>
    <w:rsid w:val="0E4112D9"/>
    <w:rsid w:val="0E737964"/>
    <w:rsid w:val="0E840851"/>
    <w:rsid w:val="0EBA026D"/>
    <w:rsid w:val="0EC4295E"/>
    <w:rsid w:val="0EC6083C"/>
    <w:rsid w:val="0EE655A4"/>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4112C0"/>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4D132D"/>
    <w:rsid w:val="3C7D054E"/>
    <w:rsid w:val="3CFC1165"/>
    <w:rsid w:val="3D015A8B"/>
    <w:rsid w:val="3D334134"/>
    <w:rsid w:val="3D415E88"/>
    <w:rsid w:val="3D756085"/>
    <w:rsid w:val="3EBB220E"/>
    <w:rsid w:val="3F291FD7"/>
    <w:rsid w:val="3F714EB4"/>
    <w:rsid w:val="3FE700DA"/>
    <w:rsid w:val="400F5387"/>
    <w:rsid w:val="409E6959"/>
    <w:rsid w:val="40E33CB6"/>
    <w:rsid w:val="40E672A8"/>
    <w:rsid w:val="41787E54"/>
    <w:rsid w:val="421B5AB1"/>
    <w:rsid w:val="42FA78AA"/>
    <w:rsid w:val="436A71FB"/>
    <w:rsid w:val="446A2A35"/>
    <w:rsid w:val="45472443"/>
    <w:rsid w:val="45726CAD"/>
    <w:rsid w:val="45E75B72"/>
    <w:rsid w:val="46787084"/>
    <w:rsid w:val="46F25FA8"/>
    <w:rsid w:val="472F74AE"/>
    <w:rsid w:val="4864384C"/>
    <w:rsid w:val="495C41CA"/>
    <w:rsid w:val="497154DF"/>
    <w:rsid w:val="49930CA0"/>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7903AE2"/>
    <w:rsid w:val="58696FE1"/>
    <w:rsid w:val="586C4C62"/>
    <w:rsid w:val="58967865"/>
    <w:rsid w:val="58DB0E89"/>
    <w:rsid w:val="594876BF"/>
    <w:rsid w:val="59FD5891"/>
    <w:rsid w:val="5A2D31D7"/>
    <w:rsid w:val="5A4001CD"/>
    <w:rsid w:val="5A827677"/>
    <w:rsid w:val="5B46758A"/>
    <w:rsid w:val="5B7E5A0A"/>
    <w:rsid w:val="5B8007D7"/>
    <w:rsid w:val="5CC37E03"/>
    <w:rsid w:val="5D3C6E24"/>
    <w:rsid w:val="5D565CCA"/>
    <w:rsid w:val="5DD93569"/>
    <w:rsid w:val="5DDE13DF"/>
    <w:rsid w:val="5DDF3E5F"/>
    <w:rsid w:val="5DEB0DD3"/>
    <w:rsid w:val="5ED66C02"/>
    <w:rsid w:val="5FBE0A6E"/>
    <w:rsid w:val="5FDF0124"/>
    <w:rsid w:val="60AE143D"/>
    <w:rsid w:val="61810A7F"/>
    <w:rsid w:val="61AA1436"/>
    <w:rsid w:val="62E969E6"/>
    <w:rsid w:val="62FA4553"/>
    <w:rsid w:val="635F6889"/>
    <w:rsid w:val="648A6BD3"/>
    <w:rsid w:val="652B354E"/>
    <w:rsid w:val="65E35666"/>
    <w:rsid w:val="65E41CEC"/>
    <w:rsid w:val="65FC1843"/>
    <w:rsid w:val="66F44F9A"/>
    <w:rsid w:val="6703567D"/>
    <w:rsid w:val="677F6F32"/>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2168E9"/>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05276"/>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 w:type="character" w:customStyle="1" w:styleId="116">
    <w:name w:val="form-item-field2"/>
    <w:basedOn w:val="22"/>
    <w:qFormat/>
    <w:uiPriority w:val="0"/>
    <w:rPr>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4</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2026-10-13T01:36:11Z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