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3"/>
          <w:rFonts w:ascii="宋体" w:hAnsi="宋体" w:eastAsia="宋体"/>
          <w:b w:val="0"/>
          <w:sz w:val="28"/>
          <w:szCs w:val="28"/>
        </w:rPr>
      </w:pPr>
      <w:r>
        <w:rPr>
          <w:rStyle w:val="23"/>
          <w:rFonts w:hint="eastAsia" w:ascii="宋体" w:hAnsi="宋体" w:eastAsia="宋体"/>
          <w:b w:val="0"/>
          <w:sz w:val="28"/>
          <w:szCs w:val="28"/>
        </w:rPr>
        <w:t>附件</w:t>
      </w:r>
      <w:r>
        <w:rPr>
          <w:rStyle w:val="23"/>
          <w:rFonts w:hint="eastAsia" w:ascii="宋体" w:hAnsi="宋体" w:eastAsia="宋体"/>
          <w:b w:val="0"/>
          <w:sz w:val="28"/>
          <w:szCs w:val="28"/>
          <w:lang w:val="en-US" w:eastAsia="zh-CN"/>
        </w:rPr>
        <w:t>1-报价表</w:t>
      </w:r>
      <w:r>
        <w:rPr>
          <w:rStyle w:val="23"/>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望犀校区主通道、凤北校区路灯更换维修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采购</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5</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15</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5"/>
        <w:tblpPr w:leftFromText="180" w:rightFromText="180" w:vertAnchor="text" w:horzAnchor="page" w:tblpX="1081" w:tblpY="210"/>
        <w:tblOverlap w:val="never"/>
        <w:tblW w:w="103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039"/>
        <w:gridCol w:w="43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039"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4370"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36"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kern w:val="2"/>
                <w:sz w:val="28"/>
                <w:szCs w:val="28"/>
                <w:lang w:val="en-US" w:eastAsia="zh-CN" w:bidi="ar"/>
              </w:rPr>
              <w:t>望犀校区主通道、凤北校区路灯更换维修</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039"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437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如供应商为本项目提供的所有产品中有属于《强制性产品认证目录》范围内产品的，均应通过国家强制性产品认证并取得认证证书或经过强制性认证产品符合性自我声明。（</w:t>
            </w:r>
            <w:r>
              <w:rPr>
                <w:rFonts w:hint="eastAsia" w:asciiTheme="minorEastAsia" w:hAnsiTheme="minorEastAsia" w:cstheme="minorEastAsia"/>
                <w:sz w:val="21"/>
                <w:szCs w:val="21"/>
                <w:lang w:eastAsia="zh-CN"/>
              </w:rPr>
              <w:t>签订合同</w:t>
            </w:r>
            <w:r>
              <w:rPr>
                <w:rFonts w:hint="eastAsia" w:asciiTheme="minorEastAsia" w:hAnsiTheme="minorEastAsia" w:eastAsiaTheme="minorEastAsia" w:cstheme="minorEastAsia"/>
                <w:sz w:val="21"/>
                <w:szCs w:val="21"/>
              </w:rPr>
              <w:t>时须提供产品对应的有效的“CCC”认证证书或经过强制性认证产品符合性自我声明扫描件并加盖供应商公章）。供应商为本项目提供的所有产品应符合现行的强制性国家相关标准、行业标准。</w:t>
            </w:r>
          </w:p>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8095"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8095"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备注: 1、报价为包干价，含税费、运输费、安装费、人工费等一切费用。</w:t>
      </w:r>
    </w:p>
    <w:p>
      <w:pPr>
        <w:pStyle w:val="2"/>
        <w:numPr>
          <w:ilvl w:val="0"/>
          <w:numId w:val="0"/>
        </w:numPr>
        <w:ind w:firstLine="723" w:firstLineChars="400"/>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2、</w:t>
      </w:r>
      <w:r>
        <w:rPr>
          <w:rFonts w:hint="eastAsia" w:ascii="宋体" w:hAnsi="宋体" w:eastAsia="宋体" w:cs="宋体"/>
          <w:b/>
          <w:bCs/>
          <w:sz w:val="18"/>
          <w:szCs w:val="18"/>
          <w:lang w:val="en-US" w:eastAsia="zh-CN"/>
        </w:rPr>
        <w:t>此报价必须单价、总价都要报，否则为无效报价</w:t>
      </w:r>
      <w:r>
        <w:rPr>
          <w:rFonts w:hint="eastAsia" w:ascii="宋体" w:hAnsi="宋体" w:cs="宋体"/>
          <w:b/>
          <w:bCs/>
          <w:sz w:val="18"/>
          <w:szCs w:val="18"/>
          <w:lang w:val="en-US" w:eastAsia="zh-CN"/>
        </w:rPr>
        <w:t>。</w:t>
      </w:r>
    </w:p>
    <w:p>
      <w:pPr>
        <w:numPr>
          <w:ilvl w:val="0"/>
          <w:numId w:val="0"/>
        </w:numPr>
        <w:rPr>
          <w:rFonts w:hint="default"/>
          <w:lang w:val="en-US" w:eastAsia="zh-CN"/>
        </w:rPr>
      </w:pPr>
      <w:r>
        <w:rPr>
          <w:rFonts w:hint="eastAsia" w:ascii="宋体" w:hAnsi="宋体" w:eastAsia="宋体" w:cs="宋体"/>
          <w:b/>
          <w:bCs/>
          <w:sz w:val="18"/>
          <w:szCs w:val="18"/>
          <w:lang w:val="en-US" w:eastAsia="zh-CN"/>
        </w:rPr>
        <w:t xml:space="preserve">　     </w:t>
      </w:r>
      <w:r>
        <w:rPr>
          <w:rFonts w:hint="eastAsia"/>
          <w:lang w:val="en-US" w:eastAsia="zh-CN"/>
        </w:rPr>
        <w:t>　　　</w:t>
      </w:r>
    </w:p>
    <w:p>
      <w:pPr>
        <w:spacing w:line="560" w:lineRule="exact"/>
        <w:jc w:val="both"/>
        <w:rPr>
          <w:rFonts w:hint="eastAsia" w:ascii="Calibri" w:hAnsi="Calibri" w:eastAsia="宋体" w:cs="Times New Roman"/>
          <w:b/>
          <w:bCs/>
          <w:color w:val="0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tbl>
      <w:tblPr>
        <w:tblW w:w="9820" w:type="dxa"/>
        <w:tblInd w:w="0" w:type="dxa"/>
        <w:shd w:val="clear"/>
        <w:tblLayout w:type="fixed"/>
        <w:tblCellMar>
          <w:top w:w="0" w:type="dxa"/>
          <w:left w:w="0" w:type="dxa"/>
          <w:bottom w:w="0" w:type="dxa"/>
          <w:right w:w="0" w:type="dxa"/>
        </w:tblCellMar>
      </w:tblPr>
      <w:tblGrid>
        <w:gridCol w:w="364"/>
        <w:gridCol w:w="1047"/>
        <w:gridCol w:w="3941"/>
        <w:gridCol w:w="766"/>
        <w:gridCol w:w="1148"/>
        <w:gridCol w:w="901"/>
        <w:gridCol w:w="827"/>
        <w:gridCol w:w="826"/>
      </w:tblGrid>
      <w:tr>
        <w:tblPrEx>
          <w:shd w:val="clear"/>
          <w:tblLayout w:type="fixed"/>
          <w:tblCellMar>
            <w:top w:w="0" w:type="dxa"/>
            <w:left w:w="0" w:type="dxa"/>
            <w:bottom w:w="0" w:type="dxa"/>
            <w:right w:w="0" w:type="dxa"/>
          </w:tblCellMar>
        </w:tblPrEx>
        <w:trPr>
          <w:trHeight w:val="800" w:hRule="atLeast"/>
        </w:trPr>
        <w:tc>
          <w:tcPr>
            <w:tcW w:w="8994" w:type="dxa"/>
            <w:gridSpan w:val="7"/>
            <w:tcBorders>
              <w:top w:val="nil"/>
              <w:left w:val="nil"/>
              <w:bottom w:val="nil"/>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黑体" w:hAnsi="宋体" w:eastAsia="黑体" w:cs="黑体"/>
                <w:b/>
                <w:i w:val="0"/>
                <w:color w:val="000000"/>
                <w:sz w:val="32"/>
                <w:szCs w:val="32"/>
                <w:u w:val="none"/>
              </w:rPr>
            </w:pPr>
            <w:r>
              <w:rPr>
                <w:rFonts w:hint="eastAsia" w:ascii="黑体" w:hAnsi="宋体" w:eastAsia="黑体" w:cs="黑体"/>
                <w:b/>
                <w:i w:val="0"/>
                <w:color w:val="000000"/>
                <w:kern w:val="0"/>
                <w:sz w:val="32"/>
                <w:szCs w:val="32"/>
                <w:u w:val="none"/>
                <w:bdr w:val="none" w:color="auto" w:sz="0" w:space="0"/>
                <w:lang w:val="en-US" w:eastAsia="zh-CN" w:bidi="ar"/>
              </w:rPr>
              <w:t>望犀校区主通道、凤北校区路灯更换维修项目明细</w:t>
            </w:r>
            <w:bookmarkStart w:id="0" w:name="_GoBack"/>
            <w:bookmarkEnd w:id="0"/>
            <w:r>
              <w:rPr>
                <w:rFonts w:hint="eastAsia" w:ascii="黑体" w:hAnsi="宋体" w:eastAsia="黑体" w:cs="黑体"/>
                <w:b/>
                <w:i w:val="0"/>
                <w:color w:val="000000"/>
                <w:kern w:val="0"/>
                <w:sz w:val="32"/>
                <w:szCs w:val="32"/>
                <w:u w:val="none"/>
                <w:bdr w:val="none" w:color="auto" w:sz="0" w:space="0"/>
                <w:lang w:val="en-US" w:eastAsia="zh-CN" w:bidi="ar"/>
              </w:rPr>
              <w:t>表</w:t>
            </w:r>
          </w:p>
        </w:tc>
        <w:tc>
          <w:tcPr>
            <w:tcW w:w="826" w:type="dxa"/>
            <w:tcBorders>
              <w:top w:val="nil"/>
              <w:left w:val="nil"/>
              <w:bottom w:val="nil"/>
              <w:right w:val="nil"/>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b/>
                <w:i w:val="0"/>
                <w:color w:val="000000"/>
                <w:kern w:val="0"/>
                <w:sz w:val="32"/>
                <w:szCs w:val="32"/>
                <w:u w:val="none"/>
                <w:bdr w:val="none" w:color="auto" w:sz="0" w:space="0"/>
                <w:lang w:val="en-US" w:eastAsia="zh-CN" w:bidi="ar"/>
              </w:rPr>
            </w:pPr>
          </w:p>
        </w:tc>
      </w:tr>
      <w:tr>
        <w:tblPrEx>
          <w:tblLayout w:type="fixed"/>
          <w:tblCellMar>
            <w:top w:w="0" w:type="dxa"/>
            <w:left w:w="0" w:type="dxa"/>
            <w:bottom w:w="0" w:type="dxa"/>
            <w:right w:w="0" w:type="dxa"/>
          </w:tblCellMar>
        </w:tblPrEx>
        <w:trPr>
          <w:trHeight w:val="840" w:hRule="atLeast"/>
        </w:trPr>
        <w:tc>
          <w:tcPr>
            <w:tcW w:w="9820" w:type="dxa"/>
            <w:gridSpan w:val="8"/>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bdr w:val="none" w:color="auto" w:sz="0" w:space="0"/>
                <w:lang w:val="en-US" w:eastAsia="zh-CN" w:bidi="ar"/>
              </w:rPr>
            </w:pPr>
            <w:r>
              <w:rPr>
                <w:rFonts w:hint="eastAsia" w:ascii="仿宋" w:hAnsi="仿宋" w:eastAsia="仿宋" w:cs="仿宋"/>
                <w:i w:val="0"/>
                <w:color w:val="000000"/>
                <w:kern w:val="0"/>
                <w:sz w:val="22"/>
                <w:szCs w:val="22"/>
                <w:u w:val="none"/>
                <w:bdr w:val="none" w:color="auto" w:sz="0" w:space="0"/>
                <w:lang w:val="en-US" w:eastAsia="zh-CN" w:bidi="ar"/>
              </w:rPr>
              <w:t>说明：鉴于望犀校区主通道及凤北校区多处路灯存在不亮、光线过暗等问题，学生反映强烈，拟对上述路段的路灯进行更换维修。路灯质量保证时间为2年，2年内非人为损坏由商家自行进行更换，且不得再收取任何形式的更换维修费用。</w:t>
            </w:r>
          </w:p>
        </w:tc>
      </w:tr>
      <w:tr>
        <w:tblPrEx>
          <w:tblLayout w:type="fixed"/>
          <w:tblCellMar>
            <w:top w:w="0" w:type="dxa"/>
            <w:left w:w="0" w:type="dxa"/>
            <w:bottom w:w="0" w:type="dxa"/>
            <w:right w:w="0" w:type="dxa"/>
          </w:tblCellMar>
        </w:tblPrEx>
        <w:trPr>
          <w:trHeight w:val="900" w:hRule="atLeast"/>
        </w:trPr>
        <w:tc>
          <w:tcPr>
            <w:tcW w:w="36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序号</w:t>
            </w:r>
          </w:p>
        </w:tc>
        <w:tc>
          <w:tcPr>
            <w:tcW w:w="104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项目名称</w:t>
            </w:r>
          </w:p>
        </w:tc>
        <w:tc>
          <w:tcPr>
            <w:tcW w:w="394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描述及要求</w:t>
            </w:r>
          </w:p>
        </w:tc>
        <w:tc>
          <w:tcPr>
            <w:tcW w:w="76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单位</w:t>
            </w:r>
          </w:p>
        </w:tc>
        <w:tc>
          <w:tcPr>
            <w:tcW w:w="114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预计数量</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单价</w:t>
            </w:r>
          </w:p>
        </w:tc>
        <w:tc>
          <w:tcPr>
            <w:tcW w:w="82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总价</w:t>
            </w:r>
          </w:p>
        </w:tc>
        <w:tc>
          <w:tcPr>
            <w:tcW w:w="8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bdr w:val="none" w:color="auto" w:sz="0" w:space="0"/>
                <w:lang w:val="en-US" w:eastAsia="zh-CN" w:bidi="ar"/>
              </w:rPr>
            </w:pPr>
            <w:r>
              <w:rPr>
                <w:rFonts w:hint="eastAsia" w:ascii="仿宋" w:hAnsi="仿宋" w:eastAsia="仿宋" w:cs="仿宋"/>
                <w:b/>
                <w:i w:val="0"/>
                <w:color w:val="000000"/>
                <w:kern w:val="0"/>
                <w:sz w:val="24"/>
                <w:szCs w:val="24"/>
                <w:u w:val="none"/>
                <w:bdr w:val="none" w:color="auto" w:sz="0" w:space="0"/>
                <w:lang w:val="en-US" w:eastAsia="zh-CN" w:bidi="ar"/>
              </w:rPr>
              <w:t>品牌</w:t>
            </w:r>
          </w:p>
        </w:tc>
      </w:tr>
      <w:tr>
        <w:tblPrEx>
          <w:tblLayout w:type="fixed"/>
          <w:tblCellMar>
            <w:top w:w="0" w:type="dxa"/>
            <w:left w:w="0" w:type="dxa"/>
            <w:bottom w:w="0" w:type="dxa"/>
            <w:right w:w="0" w:type="dxa"/>
          </w:tblCellMar>
        </w:tblPrEx>
        <w:trPr>
          <w:trHeight w:val="1080" w:hRule="atLeast"/>
        </w:trPr>
        <w:tc>
          <w:tcPr>
            <w:tcW w:w="36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98W路灯头</w:t>
            </w:r>
          </w:p>
        </w:tc>
        <w:tc>
          <w:tcPr>
            <w:tcW w:w="394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LED平板室外防水路灯头，超量98w，防水IP65,AV86-265W,航空铝材，光束角120。</w:t>
            </w:r>
          </w:p>
        </w:tc>
        <w:tc>
          <w:tcPr>
            <w:tcW w:w="76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套</w:t>
            </w:r>
          </w:p>
        </w:tc>
        <w:tc>
          <w:tcPr>
            <w:tcW w:w="114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9</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8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bdr w:val="none" w:color="auto" w:sz="0" w:space="0"/>
                <w:lang w:val="en-US" w:eastAsia="zh-CN" w:bidi="ar"/>
              </w:rPr>
            </w:pPr>
          </w:p>
        </w:tc>
      </w:tr>
      <w:tr>
        <w:tblPrEx>
          <w:tblLayout w:type="fixed"/>
          <w:tblCellMar>
            <w:top w:w="0" w:type="dxa"/>
            <w:left w:w="0" w:type="dxa"/>
            <w:bottom w:w="0" w:type="dxa"/>
            <w:right w:w="0" w:type="dxa"/>
          </w:tblCellMar>
        </w:tblPrEx>
        <w:trPr>
          <w:trHeight w:val="960" w:hRule="atLeast"/>
        </w:trPr>
        <w:tc>
          <w:tcPr>
            <w:tcW w:w="36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2</w:t>
            </w:r>
          </w:p>
        </w:tc>
        <w:tc>
          <w:tcPr>
            <w:tcW w:w="104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70W路灯头</w:t>
            </w:r>
          </w:p>
        </w:tc>
        <w:tc>
          <w:tcPr>
            <w:tcW w:w="394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LED平板室外防水路灯头，超量70w，防水IP65,AV86-265W,航空铝材，光束角120。</w:t>
            </w:r>
          </w:p>
        </w:tc>
        <w:tc>
          <w:tcPr>
            <w:tcW w:w="76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套</w:t>
            </w:r>
          </w:p>
        </w:tc>
        <w:tc>
          <w:tcPr>
            <w:tcW w:w="114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15</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8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bdr w:val="none" w:color="auto" w:sz="0" w:space="0"/>
                <w:lang w:val="en-US" w:eastAsia="zh-CN" w:bidi="ar"/>
              </w:rPr>
            </w:pPr>
          </w:p>
        </w:tc>
      </w:tr>
      <w:tr>
        <w:tblPrEx>
          <w:tblLayout w:type="fixed"/>
          <w:tblCellMar>
            <w:top w:w="0" w:type="dxa"/>
            <w:left w:w="0" w:type="dxa"/>
            <w:bottom w:w="0" w:type="dxa"/>
            <w:right w:w="0" w:type="dxa"/>
          </w:tblCellMar>
        </w:tblPrEx>
        <w:trPr>
          <w:trHeight w:val="760" w:hRule="atLeast"/>
        </w:trPr>
        <w:tc>
          <w:tcPr>
            <w:tcW w:w="36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w:t>
            </w:r>
          </w:p>
        </w:tc>
        <w:tc>
          <w:tcPr>
            <w:tcW w:w="104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泛光灯</w:t>
            </w:r>
          </w:p>
        </w:tc>
        <w:tc>
          <w:tcPr>
            <w:tcW w:w="394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LED平板室外防水泛光灯，超量300w，防水IP65,AV86-265W,航空铝材，光束角120。</w:t>
            </w:r>
          </w:p>
        </w:tc>
        <w:tc>
          <w:tcPr>
            <w:tcW w:w="76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套</w:t>
            </w:r>
          </w:p>
        </w:tc>
        <w:tc>
          <w:tcPr>
            <w:tcW w:w="114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20</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8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bdr w:val="none" w:color="auto" w:sz="0" w:space="0"/>
                <w:lang w:val="en-US" w:eastAsia="zh-CN" w:bidi="ar"/>
              </w:rPr>
            </w:pPr>
          </w:p>
        </w:tc>
      </w:tr>
      <w:tr>
        <w:tblPrEx>
          <w:tblLayout w:type="fixed"/>
          <w:tblCellMar>
            <w:top w:w="0" w:type="dxa"/>
            <w:left w:w="0" w:type="dxa"/>
            <w:bottom w:w="0" w:type="dxa"/>
            <w:right w:w="0" w:type="dxa"/>
          </w:tblCellMar>
        </w:tblPrEx>
        <w:trPr>
          <w:trHeight w:val="760" w:hRule="atLeast"/>
        </w:trPr>
        <w:tc>
          <w:tcPr>
            <w:tcW w:w="36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4</w:t>
            </w:r>
          </w:p>
        </w:tc>
        <w:tc>
          <w:tcPr>
            <w:tcW w:w="104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围墙圆球灯</w:t>
            </w:r>
          </w:p>
        </w:tc>
        <w:tc>
          <w:tcPr>
            <w:tcW w:w="394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直径250cm亚克力白球，带铝合金基座</w:t>
            </w:r>
          </w:p>
        </w:tc>
        <w:tc>
          <w:tcPr>
            <w:tcW w:w="76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套</w:t>
            </w:r>
          </w:p>
        </w:tc>
        <w:tc>
          <w:tcPr>
            <w:tcW w:w="114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30</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8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bdr w:val="none" w:color="auto" w:sz="0" w:space="0"/>
                <w:lang w:val="en-US" w:eastAsia="zh-CN" w:bidi="ar"/>
              </w:rPr>
            </w:pPr>
          </w:p>
        </w:tc>
      </w:tr>
      <w:tr>
        <w:tblPrEx>
          <w:tblLayout w:type="fixed"/>
          <w:tblCellMar>
            <w:top w:w="0" w:type="dxa"/>
            <w:left w:w="0" w:type="dxa"/>
            <w:bottom w:w="0" w:type="dxa"/>
            <w:right w:w="0" w:type="dxa"/>
          </w:tblCellMar>
        </w:tblPrEx>
        <w:trPr>
          <w:trHeight w:val="760" w:hRule="atLeast"/>
        </w:trPr>
        <w:tc>
          <w:tcPr>
            <w:tcW w:w="36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04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铜芯线</w:t>
            </w:r>
          </w:p>
        </w:tc>
        <w:tc>
          <w:tcPr>
            <w:tcW w:w="394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2.5MM2</w:t>
            </w:r>
          </w:p>
        </w:tc>
        <w:tc>
          <w:tcPr>
            <w:tcW w:w="76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圈</w:t>
            </w:r>
          </w:p>
        </w:tc>
        <w:tc>
          <w:tcPr>
            <w:tcW w:w="114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8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bdr w:val="none" w:color="auto" w:sz="0" w:space="0"/>
                <w:lang w:val="en-US" w:eastAsia="zh-CN" w:bidi="ar"/>
              </w:rPr>
            </w:pPr>
          </w:p>
        </w:tc>
      </w:tr>
      <w:tr>
        <w:tblPrEx>
          <w:tblLayout w:type="fixed"/>
          <w:tblCellMar>
            <w:top w:w="0" w:type="dxa"/>
            <w:left w:w="0" w:type="dxa"/>
            <w:bottom w:w="0" w:type="dxa"/>
            <w:right w:w="0" w:type="dxa"/>
          </w:tblCellMar>
        </w:tblPrEx>
        <w:trPr>
          <w:trHeight w:val="700" w:hRule="atLeast"/>
        </w:trPr>
        <w:tc>
          <w:tcPr>
            <w:tcW w:w="36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6</w:t>
            </w:r>
          </w:p>
        </w:tc>
        <w:tc>
          <w:tcPr>
            <w:tcW w:w="104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云梯车</w:t>
            </w:r>
          </w:p>
        </w:tc>
        <w:tc>
          <w:tcPr>
            <w:tcW w:w="394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76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天</w:t>
            </w:r>
          </w:p>
        </w:tc>
        <w:tc>
          <w:tcPr>
            <w:tcW w:w="114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8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bdr w:val="none" w:color="auto" w:sz="0" w:space="0"/>
                <w:lang w:val="en-US" w:eastAsia="zh-CN" w:bidi="ar"/>
              </w:rPr>
            </w:pPr>
          </w:p>
        </w:tc>
      </w:tr>
      <w:tr>
        <w:tblPrEx>
          <w:tblLayout w:type="fixed"/>
          <w:tblCellMar>
            <w:top w:w="0" w:type="dxa"/>
            <w:left w:w="0" w:type="dxa"/>
            <w:bottom w:w="0" w:type="dxa"/>
            <w:right w:w="0" w:type="dxa"/>
          </w:tblCellMar>
        </w:tblPrEx>
        <w:trPr>
          <w:trHeight w:val="720" w:hRule="atLeast"/>
        </w:trPr>
        <w:tc>
          <w:tcPr>
            <w:tcW w:w="36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7</w:t>
            </w:r>
          </w:p>
        </w:tc>
        <w:tc>
          <w:tcPr>
            <w:tcW w:w="104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人工费</w:t>
            </w:r>
          </w:p>
        </w:tc>
        <w:tc>
          <w:tcPr>
            <w:tcW w:w="394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76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8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bdr w:val="none" w:color="auto" w:sz="0" w:space="0"/>
                <w:lang w:val="en-US" w:eastAsia="zh-CN" w:bidi="ar"/>
              </w:rPr>
            </w:pPr>
          </w:p>
        </w:tc>
      </w:tr>
      <w:tr>
        <w:tblPrEx>
          <w:tblLayout w:type="fixed"/>
          <w:tblCellMar>
            <w:top w:w="0" w:type="dxa"/>
            <w:left w:w="0" w:type="dxa"/>
            <w:bottom w:w="0" w:type="dxa"/>
            <w:right w:w="0" w:type="dxa"/>
          </w:tblCellMar>
        </w:tblPrEx>
        <w:trPr>
          <w:trHeight w:val="540" w:hRule="atLeast"/>
        </w:trPr>
        <w:tc>
          <w:tcPr>
            <w:tcW w:w="36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8</w:t>
            </w:r>
          </w:p>
        </w:tc>
        <w:tc>
          <w:tcPr>
            <w:tcW w:w="104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安全文明施工费</w:t>
            </w:r>
          </w:p>
        </w:tc>
        <w:tc>
          <w:tcPr>
            <w:tcW w:w="394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用于本项目改善施工现场环境、保障安全生产的专项费用</w:t>
            </w:r>
          </w:p>
        </w:tc>
        <w:tc>
          <w:tcPr>
            <w:tcW w:w="76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项</w:t>
            </w:r>
          </w:p>
        </w:tc>
        <w:tc>
          <w:tcPr>
            <w:tcW w:w="114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8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bdr w:val="none" w:color="auto" w:sz="0" w:space="0"/>
                <w:lang w:val="en-US" w:eastAsia="zh-CN" w:bidi="ar"/>
              </w:rPr>
            </w:pPr>
          </w:p>
        </w:tc>
      </w:tr>
      <w:tr>
        <w:tblPrEx>
          <w:tblLayout w:type="fixed"/>
          <w:tblCellMar>
            <w:top w:w="0" w:type="dxa"/>
            <w:left w:w="0" w:type="dxa"/>
            <w:bottom w:w="0" w:type="dxa"/>
            <w:right w:w="0" w:type="dxa"/>
          </w:tblCellMar>
        </w:tblPrEx>
        <w:trPr>
          <w:trHeight w:val="540" w:hRule="atLeast"/>
        </w:trPr>
        <w:tc>
          <w:tcPr>
            <w:tcW w:w="9820" w:type="dxa"/>
            <w:gridSpan w:val="8"/>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both"/>
              <w:textAlignment w:val="center"/>
              <w:rPr>
                <w:rFonts w:hint="default" w:ascii="仿宋" w:hAnsi="仿宋" w:eastAsia="仿宋" w:cs="仿宋"/>
                <w:i w:val="0"/>
                <w:color w:val="000000"/>
                <w:kern w:val="0"/>
                <w:sz w:val="20"/>
                <w:szCs w:val="20"/>
                <w:u w:val="none"/>
                <w:bdr w:val="none" w:color="auto" w:sz="0" w:space="0"/>
                <w:lang w:val="en-US" w:eastAsia="zh-CN" w:bidi="ar"/>
              </w:rPr>
            </w:pPr>
            <w:r>
              <w:rPr>
                <w:rFonts w:hint="eastAsia" w:ascii="仿宋" w:hAnsi="仿宋" w:eastAsia="仿宋" w:cs="仿宋"/>
                <w:b/>
                <w:i w:val="0"/>
                <w:color w:val="000000"/>
                <w:kern w:val="0"/>
                <w:sz w:val="24"/>
                <w:szCs w:val="24"/>
                <w:u w:val="none"/>
                <w:bdr w:val="none" w:color="auto" w:sz="0" w:space="0"/>
                <w:lang w:val="en-US" w:eastAsia="zh-CN" w:bidi="ar"/>
              </w:rPr>
              <w:t>合计：小写：      元、大写：                             元整。</w:t>
            </w:r>
          </w:p>
        </w:tc>
      </w:tr>
      <w:tr>
        <w:tblPrEx>
          <w:tblLayout w:type="fixed"/>
          <w:tblCellMar>
            <w:top w:w="0" w:type="dxa"/>
            <w:left w:w="0" w:type="dxa"/>
            <w:bottom w:w="0" w:type="dxa"/>
            <w:right w:w="0" w:type="dxa"/>
          </w:tblCellMar>
        </w:tblPrEx>
        <w:trPr>
          <w:trHeight w:val="1780" w:hRule="atLeast"/>
        </w:trPr>
        <w:tc>
          <w:tcPr>
            <w:tcW w:w="9820" w:type="dxa"/>
            <w:gridSpan w:val="8"/>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bdr w:val="none" w:color="auto" w:sz="0" w:space="0"/>
                <w:lang w:val="en-US" w:eastAsia="zh-CN" w:bidi="ar"/>
              </w:rPr>
            </w:pPr>
            <w:r>
              <w:rPr>
                <w:rFonts w:hint="eastAsia" w:ascii="仿宋" w:hAnsi="仿宋" w:eastAsia="仿宋" w:cs="仿宋"/>
                <w:i w:val="0"/>
                <w:color w:val="000000"/>
                <w:kern w:val="0"/>
                <w:sz w:val="24"/>
                <w:szCs w:val="24"/>
                <w:u w:val="none"/>
                <w:bdr w:val="none" w:color="auto" w:sz="0" w:space="0"/>
                <w:lang w:val="en-US" w:eastAsia="zh-CN" w:bidi="ar"/>
              </w:rPr>
              <w:t>注:1.以上预算费用除特殊标注外均包含原材料、施工工具、运输、安装、劳务、文明施工、安全施工、垃圾清扫与清运及税费等费用(学校仅免费提供水电)，采取招标报价总价最低价为中标价（单项报价不作为参考值）。2.非人为损坏质量保障年限为2年。3.数量以实际验收数量为准予以结算。在施工过程中，应学校要求，如出现增项或增量、改变方案、相关技术参数等原因，其超额须控制在成交总价的10%以内。</w:t>
            </w:r>
          </w:p>
        </w:tc>
      </w:tr>
    </w:tbl>
    <w:p>
      <w:pPr>
        <w:pStyle w:val="2"/>
        <w:rPr>
          <w:rFonts w:hint="eastAsia"/>
          <w:lang w:val="en-US" w:eastAsia="zh-CN"/>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2546FF9"/>
    <w:rsid w:val="037137FD"/>
    <w:rsid w:val="04904570"/>
    <w:rsid w:val="05036529"/>
    <w:rsid w:val="050E2ECE"/>
    <w:rsid w:val="063A7F01"/>
    <w:rsid w:val="06A27B74"/>
    <w:rsid w:val="07466AC9"/>
    <w:rsid w:val="07B34C14"/>
    <w:rsid w:val="07E5675F"/>
    <w:rsid w:val="080832CD"/>
    <w:rsid w:val="084531A0"/>
    <w:rsid w:val="084A68F4"/>
    <w:rsid w:val="084D532E"/>
    <w:rsid w:val="08BC4608"/>
    <w:rsid w:val="0A854A2B"/>
    <w:rsid w:val="0ABD57CC"/>
    <w:rsid w:val="0AE87F1A"/>
    <w:rsid w:val="0B59604C"/>
    <w:rsid w:val="0B831F9A"/>
    <w:rsid w:val="0C2D1C9E"/>
    <w:rsid w:val="0C8D7DF3"/>
    <w:rsid w:val="0CAB3131"/>
    <w:rsid w:val="0DF7766E"/>
    <w:rsid w:val="0E4112D9"/>
    <w:rsid w:val="0E737964"/>
    <w:rsid w:val="0E840851"/>
    <w:rsid w:val="0EC4295E"/>
    <w:rsid w:val="0EC6083C"/>
    <w:rsid w:val="0F681EA2"/>
    <w:rsid w:val="0FEA595D"/>
    <w:rsid w:val="10367A2C"/>
    <w:rsid w:val="10703A7C"/>
    <w:rsid w:val="112C6D93"/>
    <w:rsid w:val="12490F56"/>
    <w:rsid w:val="12656004"/>
    <w:rsid w:val="13B16302"/>
    <w:rsid w:val="1403756B"/>
    <w:rsid w:val="14F31E7A"/>
    <w:rsid w:val="14FC2F9D"/>
    <w:rsid w:val="15562691"/>
    <w:rsid w:val="157848CA"/>
    <w:rsid w:val="160903E8"/>
    <w:rsid w:val="1642323C"/>
    <w:rsid w:val="170462F8"/>
    <w:rsid w:val="17195864"/>
    <w:rsid w:val="17AE352F"/>
    <w:rsid w:val="18DF3200"/>
    <w:rsid w:val="19040048"/>
    <w:rsid w:val="193910E5"/>
    <w:rsid w:val="195135D8"/>
    <w:rsid w:val="1A7D5684"/>
    <w:rsid w:val="1AC15311"/>
    <w:rsid w:val="1B134EC3"/>
    <w:rsid w:val="1C2C52C5"/>
    <w:rsid w:val="1CAD5CEA"/>
    <w:rsid w:val="1D113FA4"/>
    <w:rsid w:val="1D5B7B20"/>
    <w:rsid w:val="1E8F3ED4"/>
    <w:rsid w:val="20371A9D"/>
    <w:rsid w:val="20E76CAB"/>
    <w:rsid w:val="21394209"/>
    <w:rsid w:val="21EA0F6E"/>
    <w:rsid w:val="231C7821"/>
    <w:rsid w:val="237B095A"/>
    <w:rsid w:val="241C27E5"/>
    <w:rsid w:val="24DB4A8C"/>
    <w:rsid w:val="259E1B40"/>
    <w:rsid w:val="25A07E30"/>
    <w:rsid w:val="26D05631"/>
    <w:rsid w:val="26E23F50"/>
    <w:rsid w:val="27E20B06"/>
    <w:rsid w:val="27FC47B5"/>
    <w:rsid w:val="287E141C"/>
    <w:rsid w:val="28B8629B"/>
    <w:rsid w:val="28CD15BF"/>
    <w:rsid w:val="2A067046"/>
    <w:rsid w:val="2A761DD9"/>
    <w:rsid w:val="2AB11F9F"/>
    <w:rsid w:val="2ACB3D96"/>
    <w:rsid w:val="2B813F30"/>
    <w:rsid w:val="2B9525BA"/>
    <w:rsid w:val="2BA47F84"/>
    <w:rsid w:val="2BA70D47"/>
    <w:rsid w:val="2BB72189"/>
    <w:rsid w:val="2BC20EB0"/>
    <w:rsid w:val="2BFA58CF"/>
    <w:rsid w:val="2C0D1342"/>
    <w:rsid w:val="2CE22C39"/>
    <w:rsid w:val="2CFC063C"/>
    <w:rsid w:val="2D0642A7"/>
    <w:rsid w:val="2D2674F0"/>
    <w:rsid w:val="2DEF43FE"/>
    <w:rsid w:val="2E4C334A"/>
    <w:rsid w:val="2E735FF0"/>
    <w:rsid w:val="2F3D4C69"/>
    <w:rsid w:val="2FD62398"/>
    <w:rsid w:val="30AF4379"/>
    <w:rsid w:val="30F77E7A"/>
    <w:rsid w:val="310A1609"/>
    <w:rsid w:val="313724A3"/>
    <w:rsid w:val="314A2369"/>
    <w:rsid w:val="314F75C7"/>
    <w:rsid w:val="31E71C02"/>
    <w:rsid w:val="32DD68D2"/>
    <w:rsid w:val="33266B77"/>
    <w:rsid w:val="336E46FF"/>
    <w:rsid w:val="339A2D55"/>
    <w:rsid w:val="33A610DA"/>
    <w:rsid w:val="352C0B45"/>
    <w:rsid w:val="35946AAA"/>
    <w:rsid w:val="36E11B91"/>
    <w:rsid w:val="36F0387E"/>
    <w:rsid w:val="370F1C04"/>
    <w:rsid w:val="3717002F"/>
    <w:rsid w:val="37344B40"/>
    <w:rsid w:val="376F22B9"/>
    <w:rsid w:val="37762B2D"/>
    <w:rsid w:val="37CC1338"/>
    <w:rsid w:val="38AC5308"/>
    <w:rsid w:val="390C744C"/>
    <w:rsid w:val="39FA3AED"/>
    <w:rsid w:val="3A34346A"/>
    <w:rsid w:val="3A486159"/>
    <w:rsid w:val="3AAC7696"/>
    <w:rsid w:val="3AE86BAC"/>
    <w:rsid w:val="3B4D6C4F"/>
    <w:rsid w:val="3BDB166E"/>
    <w:rsid w:val="3BEA48CE"/>
    <w:rsid w:val="3C7D054E"/>
    <w:rsid w:val="3CFC1165"/>
    <w:rsid w:val="3D015A8B"/>
    <w:rsid w:val="3D334134"/>
    <w:rsid w:val="3D415E88"/>
    <w:rsid w:val="3D756085"/>
    <w:rsid w:val="3F291FD7"/>
    <w:rsid w:val="3F714EB4"/>
    <w:rsid w:val="3FE700DA"/>
    <w:rsid w:val="400F5387"/>
    <w:rsid w:val="409E6959"/>
    <w:rsid w:val="40E33CB6"/>
    <w:rsid w:val="40E672A8"/>
    <w:rsid w:val="421B5AB1"/>
    <w:rsid w:val="42FA78AA"/>
    <w:rsid w:val="436A71FB"/>
    <w:rsid w:val="446A2A35"/>
    <w:rsid w:val="45472443"/>
    <w:rsid w:val="45726CAD"/>
    <w:rsid w:val="45E75B72"/>
    <w:rsid w:val="46787084"/>
    <w:rsid w:val="46F25FA8"/>
    <w:rsid w:val="472F74AE"/>
    <w:rsid w:val="497154DF"/>
    <w:rsid w:val="4A364969"/>
    <w:rsid w:val="4B3710C6"/>
    <w:rsid w:val="4C3D587F"/>
    <w:rsid w:val="4C5338DC"/>
    <w:rsid w:val="4C661EAD"/>
    <w:rsid w:val="4C8E350F"/>
    <w:rsid w:val="4D143759"/>
    <w:rsid w:val="4DF14748"/>
    <w:rsid w:val="4FDA5DC0"/>
    <w:rsid w:val="511D7321"/>
    <w:rsid w:val="52172637"/>
    <w:rsid w:val="521B665C"/>
    <w:rsid w:val="52DE7538"/>
    <w:rsid w:val="53D6057F"/>
    <w:rsid w:val="550E655A"/>
    <w:rsid w:val="55677B7D"/>
    <w:rsid w:val="55751482"/>
    <w:rsid w:val="55A44E60"/>
    <w:rsid w:val="56793777"/>
    <w:rsid w:val="56D23F20"/>
    <w:rsid w:val="57524BAD"/>
    <w:rsid w:val="58696FE1"/>
    <w:rsid w:val="58967865"/>
    <w:rsid w:val="58DB0E89"/>
    <w:rsid w:val="59FD5891"/>
    <w:rsid w:val="5A2D31D7"/>
    <w:rsid w:val="5A4001CD"/>
    <w:rsid w:val="5A827677"/>
    <w:rsid w:val="5AF231C8"/>
    <w:rsid w:val="5B46758A"/>
    <w:rsid w:val="5B7E5A0A"/>
    <w:rsid w:val="5B8007D7"/>
    <w:rsid w:val="5CC37E03"/>
    <w:rsid w:val="5D3C6E24"/>
    <w:rsid w:val="5D565CCA"/>
    <w:rsid w:val="5DD93569"/>
    <w:rsid w:val="5DDE13DF"/>
    <w:rsid w:val="5DEB0DD3"/>
    <w:rsid w:val="5ED66C02"/>
    <w:rsid w:val="5FBE0A6E"/>
    <w:rsid w:val="5FDF0124"/>
    <w:rsid w:val="60AE143D"/>
    <w:rsid w:val="615D4ED0"/>
    <w:rsid w:val="61810A7F"/>
    <w:rsid w:val="61AA1436"/>
    <w:rsid w:val="62E969E6"/>
    <w:rsid w:val="62FA4553"/>
    <w:rsid w:val="635F6889"/>
    <w:rsid w:val="648A6BD3"/>
    <w:rsid w:val="652B354E"/>
    <w:rsid w:val="65E41CEC"/>
    <w:rsid w:val="65FC1843"/>
    <w:rsid w:val="66F44F9A"/>
    <w:rsid w:val="6703567D"/>
    <w:rsid w:val="677F6F32"/>
    <w:rsid w:val="68242688"/>
    <w:rsid w:val="6873134A"/>
    <w:rsid w:val="68DF31E0"/>
    <w:rsid w:val="68F77EE8"/>
    <w:rsid w:val="6A473E6C"/>
    <w:rsid w:val="6C3A4D28"/>
    <w:rsid w:val="6C476A65"/>
    <w:rsid w:val="6D1143E7"/>
    <w:rsid w:val="6D243D76"/>
    <w:rsid w:val="6EA717DD"/>
    <w:rsid w:val="6EAE2F6C"/>
    <w:rsid w:val="6EEB6630"/>
    <w:rsid w:val="70A70FB3"/>
    <w:rsid w:val="70EF3BC6"/>
    <w:rsid w:val="70FE0565"/>
    <w:rsid w:val="71065830"/>
    <w:rsid w:val="714025C6"/>
    <w:rsid w:val="717B04E2"/>
    <w:rsid w:val="72451486"/>
    <w:rsid w:val="726A3B6F"/>
    <w:rsid w:val="739326B7"/>
    <w:rsid w:val="739864CD"/>
    <w:rsid w:val="73A1555E"/>
    <w:rsid w:val="73DC7DFF"/>
    <w:rsid w:val="74383190"/>
    <w:rsid w:val="747D4382"/>
    <w:rsid w:val="74EB34EA"/>
    <w:rsid w:val="75170C43"/>
    <w:rsid w:val="751747F8"/>
    <w:rsid w:val="752A0060"/>
    <w:rsid w:val="755161DC"/>
    <w:rsid w:val="75546E5B"/>
    <w:rsid w:val="7594657A"/>
    <w:rsid w:val="777F323F"/>
    <w:rsid w:val="78AA53A5"/>
    <w:rsid w:val="78B0277B"/>
    <w:rsid w:val="78FD1A99"/>
    <w:rsid w:val="79196E60"/>
    <w:rsid w:val="7ABA1344"/>
    <w:rsid w:val="7AE36DFF"/>
    <w:rsid w:val="7D225AFC"/>
    <w:rsid w:val="7D673CC8"/>
    <w:rsid w:val="7D740341"/>
    <w:rsid w:val="7DAC327C"/>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2">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1"/>
    <w:unhideWhenUsed/>
    <w:qFormat/>
    <w:uiPriority w:val="99"/>
    <w:rPr>
      <w:rFonts w:asciiTheme="minorHAnsi" w:hAnsiTheme="minorHAnsi" w:eastAsiaTheme="minorEastAsia" w:cstheme="minorBidi"/>
      <w:b/>
      <w:bCs/>
      <w:szCs w:val="22"/>
    </w:rPr>
  </w:style>
  <w:style w:type="paragraph" w:styleId="9">
    <w:name w:val="annotation text"/>
    <w:basedOn w:val="1"/>
    <w:link w:val="77"/>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3"/>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41"/>
    <w:unhideWhenUsed/>
    <w:qFormat/>
    <w:uiPriority w:val="99"/>
    <w:pPr>
      <w:ind w:left="100" w:leftChars="2500"/>
    </w:pPr>
  </w:style>
  <w:style w:type="paragraph" w:styleId="14">
    <w:name w:val="Balloon Text"/>
    <w:basedOn w:val="1"/>
    <w:link w:val="47"/>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qFormat/>
    <w:uiPriority w:val="10"/>
    <w:pPr>
      <w:spacing w:before="240" w:after="60"/>
      <w:jc w:val="center"/>
      <w:outlineLvl w:val="0"/>
    </w:pPr>
    <w:rPr>
      <w:rFonts w:ascii="Cambria" w:hAnsi="Cambria"/>
      <w:b/>
      <w:kern w:val="0"/>
      <w:sz w:val="32"/>
    </w:r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TML Definition"/>
    <w:basedOn w:val="22"/>
    <w:semiHidden/>
    <w:unhideWhenUsed/>
    <w:qFormat/>
    <w:uiPriority w:val="99"/>
    <w:rPr>
      <w:i/>
      <w:iCs/>
    </w:rPr>
  </w:style>
  <w:style w:type="character" w:styleId="26">
    <w:name w:val="HTML Acronym"/>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HTML Code"/>
    <w:basedOn w:val="22"/>
    <w:semiHidden/>
    <w:unhideWhenUsed/>
    <w:qFormat/>
    <w:uiPriority w:val="99"/>
    <w:rPr>
      <w:rFonts w:ascii="serif" w:hAnsi="serif" w:eastAsia="serif" w:cs="serif"/>
      <w:sz w:val="21"/>
      <w:szCs w:val="21"/>
    </w:rPr>
  </w:style>
  <w:style w:type="character" w:styleId="30">
    <w:name w:val="annotation reference"/>
    <w:basedOn w:val="22"/>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hint="default" w:ascii="serif" w:hAnsi="serif" w:eastAsia="serif" w:cs="serif"/>
      <w:sz w:val="21"/>
      <w:szCs w:val="21"/>
    </w:rPr>
  </w:style>
  <w:style w:type="character" w:styleId="33">
    <w:name w:val="HTML Sample"/>
    <w:basedOn w:val="22"/>
    <w:semiHidden/>
    <w:unhideWhenUsed/>
    <w:qFormat/>
    <w:uiPriority w:val="99"/>
    <w:rPr>
      <w:rFonts w:hint="default" w:ascii="serif" w:hAnsi="serif" w:eastAsia="serif" w:cs="serif"/>
      <w:sz w:val="21"/>
      <w:szCs w:val="21"/>
    </w:rPr>
  </w:style>
  <w:style w:type="table" w:styleId="35">
    <w:name w:val="Table Grid"/>
    <w:basedOn w:val="3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2"/>
    <w:link w:val="16"/>
    <w:qFormat/>
    <w:uiPriority w:val="99"/>
    <w:rPr>
      <w:sz w:val="18"/>
      <w:szCs w:val="18"/>
    </w:rPr>
  </w:style>
  <w:style w:type="character" w:customStyle="1" w:styleId="40">
    <w:name w:val="页脚 Char"/>
    <w:basedOn w:val="22"/>
    <w:link w:val="15"/>
    <w:qFormat/>
    <w:uiPriority w:val="99"/>
    <w:rPr>
      <w:sz w:val="18"/>
      <w:szCs w:val="18"/>
    </w:rPr>
  </w:style>
  <w:style w:type="character" w:customStyle="1" w:styleId="41">
    <w:name w:val="日期 Char"/>
    <w:basedOn w:val="22"/>
    <w:link w:val="13"/>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2"/>
    <w:link w:val="14"/>
    <w:qFormat/>
    <w:uiPriority w:val="99"/>
    <w:rPr>
      <w:sz w:val="18"/>
      <w:szCs w:val="18"/>
    </w:rPr>
  </w:style>
  <w:style w:type="character" w:customStyle="1" w:styleId="48">
    <w:name w:val="标题 1 Char"/>
    <w:basedOn w:val="22"/>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2"/>
    <w:link w:val="4"/>
    <w:qFormat/>
    <w:uiPriority w:val="0"/>
    <w:rPr>
      <w:rFonts w:ascii="黑体" w:hAnsi="黑体" w:eastAsia="黑体" w:cs="Times New Roman"/>
      <w:sz w:val="32"/>
      <w:szCs w:val="24"/>
    </w:rPr>
  </w:style>
  <w:style w:type="character" w:customStyle="1" w:styleId="75">
    <w:name w:val="标题 3 Char"/>
    <w:basedOn w:val="22"/>
    <w:link w:val="5"/>
    <w:semiHidden/>
    <w:qFormat/>
    <w:uiPriority w:val="9"/>
    <w:rPr>
      <w:rFonts w:ascii="等线" w:hAnsi="等线" w:eastAsia="等线" w:cs="Times New Roman"/>
      <w:b/>
      <w:bCs/>
      <w:sz w:val="32"/>
      <w:szCs w:val="32"/>
    </w:rPr>
  </w:style>
  <w:style w:type="character" w:customStyle="1" w:styleId="76">
    <w:name w:val="标题 4 Char"/>
    <w:basedOn w:val="22"/>
    <w:link w:val="6"/>
    <w:semiHidden/>
    <w:qFormat/>
    <w:uiPriority w:val="9"/>
    <w:rPr>
      <w:rFonts w:ascii="等线 Light" w:hAnsi="等线 Light" w:eastAsia="等线 Light" w:cs="Times New Roman"/>
      <w:b/>
      <w:bCs/>
      <w:sz w:val="28"/>
      <w:szCs w:val="28"/>
    </w:rPr>
  </w:style>
  <w:style w:type="character" w:customStyle="1" w:styleId="77">
    <w:name w:val="批注文字 Char"/>
    <w:basedOn w:val="22"/>
    <w:link w:val="9"/>
    <w:qFormat/>
    <w:uiPriority w:val="99"/>
    <w:rPr>
      <w:rFonts w:ascii="Calibri" w:hAnsi="Calibri" w:eastAsia="宋体" w:cs="Calibri"/>
      <w:szCs w:val="21"/>
    </w:rPr>
  </w:style>
  <w:style w:type="character" w:customStyle="1" w:styleId="78">
    <w:name w:val="正文文本 Char"/>
    <w:basedOn w:val="22"/>
    <w:link w:val="2"/>
    <w:qFormat/>
    <w:uiPriority w:val="99"/>
    <w:rPr>
      <w:rFonts w:ascii="Times New Roman" w:hAnsi="Times New Roman" w:eastAsia="宋体" w:cs="Times New Roman"/>
      <w:sz w:val="28"/>
      <w:szCs w:val="20"/>
    </w:rPr>
  </w:style>
  <w:style w:type="character" w:customStyle="1" w:styleId="79">
    <w:name w:val="正文文本_"/>
    <w:basedOn w:val="22"/>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2"/>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8"/>
    <w:qFormat/>
    <w:uiPriority w:val="99"/>
    <w:rPr>
      <w:b/>
      <w:bCs/>
    </w:rPr>
  </w:style>
  <w:style w:type="paragraph" w:customStyle="1" w:styleId="92">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2"/>
    <w:link w:val="11"/>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6">
    <w:name w:val="font11"/>
    <w:basedOn w:val="22"/>
    <w:qFormat/>
    <w:uiPriority w:val="0"/>
    <w:rPr>
      <w:rFonts w:hint="eastAsia" w:ascii="宋体" w:hAnsi="宋体" w:eastAsia="宋体" w:cs="宋体"/>
      <w:color w:val="000000"/>
      <w:sz w:val="28"/>
      <w:szCs w:val="28"/>
      <w:u w:val="none"/>
    </w:rPr>
  </w:style>
  <w:style w:type="character" w:customStyle="1" w:styleId="97">
    <w:name w:val="font21"/>
    <w:basedOn w:val="22"/>
    <w:qFormat/>
    <w:uiPriority w:val="0"/>
    <w:rPr>
      <w:rFonts w:hint="eastAsia" w:ascii="宋体" w:hAnsi="宋体" w:eastAsia="宋体" w:cs="宋体"/>
      <w:color w:val="000000"/>
      <w:sz w:val="28"/>
      <w:szCs w:val="28"/>
      <w:u w:val="none"/>
      <w:vertAlign w:val="superscript"/>
    </w:rPr>
  </w:style>
  <w:style w:type="character" w:customStyle="1" w:styleId="98">
    <w:name w:val="font31"/>
    <w:basedOn w:val="22"/>
    <w:qFormat/>
    <w:uiPriority w:val="0"/>
    <w:rPr>
      <w:rFonts w:hint="eastAsia" w:ascii="宋体" w:hAnsi="宋体" w:eastAsia="宋体" w:cs="宋体"/>
      <w:color w:val="000000"/>
      <w:sz w:val="24"/>
      <w:szCs w:val="24"/>
      <w:u w:val="none"/>
      <w:vertAlign w:val="superscript"/>
    </w:rPr>
  </w:style>
  <w:style w:type="character" w:customStyle="1" w:styleId="99">
    <w:name w:val="font01"/>
    <w:basedOn w:val="22"/>
    <w:qFormat/>
    <w:uiPriority w:val="0"/>
    <w:rPr>
      <w:rFonts w:hint="eastAsia" w:ascii="宋体" w:hAnsi="宋体" w:eastAsia="宋体" w:cs="宋体"/>
      <w:color w:val="000000"/>
      <w:sz w:val="24"/>
      <w:szCs w:val="24"/>
      <w:u w:val="none"/>
      <w:vertAlign w:val="superscript"/>
    </w:rPr>
  </w:style>
  <w:style w:type="character" w:customStyle="1" w:styleId="100">
    <w:name w:val="font41"/>
    <w:basedOn w:val="22"/>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2"/>
    <w:qFormat/>
    <w:uiPriority w:val="0"/>
    <w:rPr>
      <w:sz w:val="16"/>
      <w:szCs w:val="16"/>
    </w:rPr>
  </w:style>
  <w:style w:type="character" w:customStyle="1" w:styleId="103">
    <w:name w:val="sort-name-span"/>
    <w:basedOn w:val="22"/>
    <w:qFormat/>
    <w:uiPriority w:val="0"/>
  </w:style>
  <w:style w:type="character" w:customStyle="1" w:styleId="104">
    <w:name w:val="leaf"/>
    <w:basedOn w:val="22"/>
    <w:qFormat/>
    <w:uiPriority w:val="0"/>
  </w:style>
  <w:style w:type="character" w:customStyle="1" w:styleId="105">
    <w:name w:val="root"/>
    <w:basedOn w:val="22"/>
    <w:qFormat/>
    <w:uiPriority w:val="0"/>
  </w:style>
  <w:style w:type="character" w:customStyle="1" w:styleId="106">
    <w:name w:val="category-text"/>
    <w:basedOn w:val="22"/>
    <w:qFormat/>
    <w:uiPriority w:val="0"/>
    <w:rPr>
      <w:b/>
      <w:shd w:val="clear" w:fill="FFFFFF"/>
    </w:rPr>
  </w:style>
  <w:style w:type="character" w:customStyle="1" w:styleId="107">
    <w:name w:val="flow-name-span"/>
    <w:basedOn w:val="22"/>
    <w:qFormat/>
    <w:uiPriority w:val="0"/>
  </w:style>
  <w:style w:type="character" w:customStyle="1" w:styleId="108">
    <w:name w:val="form-textarea-print1"/>
    <w:basedOn w:val="22"/>
    <w:qFormat/>
    <w:uiPriority w:val="0"/>
    <w:rPr>
      <w:rFonts w:ascii="微软雅黑" w:hAnsi="微软雅黑" w:eastAsia="微软雅黑" w:cs="微软雅黑"/>
      <w:sz w:val="14"/>
      <w:szCs w:val="14"/>
    </w:rPr>
  </w:style>
  <w:style w:type="character" w:customStyle="1" w:styleId="109">
    <w:name w:val="font71"/>
    <w:basedOn w:val="22"/>
    <w:qFormat/>
    <w:uiPriority w:val="0"/>
    <w:rPr>
      <w:rFonts w:hint="eastAsia" w:ascii="仿宋" w:hAnsi="仿宋" w:eastAsia="仿宋" w:cs="仿宋"/>
      <w:b/>
      <w:bCs/>
      <w:color w:val="000000"/>
      <w:sz w:val="22"/>
      <w:szCs w:val="22"/>
      <w:u w:val="none"/>
    </w:rPr>
  </w:style>
  <w:style w:type="character" w:customStyle="1" w:styleId="110">
    <w:name w:val="font91"/>
    <w:basedOn w:val="22"/>
    <w:qFormat/>
    <w:uiPriority w:val="0"/>
    <w:rPr>
      <w:rFonts w:hint="eastAsia" w:ascii="仿宋" w:hAnsi="仿宋" w:eastAsia="仿宋" w:cs="仿宋"/>
      <w:color w:val="000000"/>
      <w:sz w:val="24"/>
      <w:szCs w:val="24"/>
      <w:u w:val="none"/>
    </w:rPr>
  </w:style>
  <w:style w:type="character" w:customStyle="1" w:styleId="111">
    <w:name w:val="font112"/>
    <w:basedOn w:val="22"/>
    <w:qFormat/>
    <w:uiPriority w:val="0"/>
    <w:rPr>
      <w:rFonts w:ascii="Arial" w:hAnsi="Arial" w:cs="Arial"/>
      <w:color w:val="000000"/>
      <w:sz w:val="24"/>
      <w:szCs w:val="24"/>
      <w:u w:val="none"/>
    </w:rPr>
  </w:style>
  <w:style w:type="character" w:customStyle="1" w:styleId="112">
    <w:name w:val="font81"/>
    <w:basedOn w:val="22"/>
    <w:qFormat/>
    <w:uiPriority w:val="0"/>
    <w:rPr>
      <w:rFonts w:hint="eastAsia" w:ascii="仿宋" w:hAnsi="仿宋" w:eastAsia="仿宋" w:cs="仿宋"/>
      <w:color w:val="000000"/>
      <w:sz w:val="24"/>
      <w:szCs w:val="24"/>
      <w:u w:val="none"/>
    </w:rPr>
  </w:style>
  <w:style w:type="character" w:customStyle="1" w:styleId="113">
    <w:name w:val="font121"/>
    <w:basedOn w:val="22"/>
    <w:qFormat/>
    <w:uiPriority w:val="0"/>
    <w:rPr>
      <w:rFonts w:hint="default" w:ascii="Arial" w:hAnsi="Arial" w:cs="Arial"/>
      <w:color w:val="000000"/>
      <w:sz w:val="24"/>
      <w:szCs w:val="24"/>
      <w:u w:val="none"/>
    </w:rPr>
  </w:style>
  <w:style w:type="character" w:customStyle="1" w:styleId="114">
    <w:name w:val="font101"/>
    <w:basedOn w:val="22"/>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19</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2026-05-12T08:10:28Z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