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4"/>
          <w:rFonts w:ascii="宋体" w:hAnsi="宋体" w:eastAsia="宋体"/>
          <w:b w:val="0"/>
          <w:sz w:val="28"/>
          <w:szCs w:val="28"/>
        </w:rPr>
      </w:pPr>
      <w:r>
        <w:rPr>
          <w:rStyle w:val="24"/>
          <w:rFonts w:hint="eastAsia" w:ascii="宋体" w:hAnsi="宋体" w:eastAsia="宋体"/>
          <w:b w:val="0"/>
          <w:sz w:val="28"/>
          <w:szCs w:val="28"/>
        </w:rPr>
        <w:t>附件</w:t>
      </w:r>
      <w:r>
        <w:rPr>
          <w:rStyle w:val="24"/>
          <w:rFonts w:hint="eastAsia" w:ascii="宋体" w:hAnsi="宋体" w:eastAsia="宋体"/>
          <w:b w:val="0"/>
          <w:sz w:val="28"/>
          <w:szCs w:val="28"/>
          <w:lang w:val="en-US" w:eastAsia="zh-CN"/>
        </w:rPr>
        <w:t>1-报价表</w:t>
      </w:r>
      <w:r>
        <w:rPr>
          <w:rStyle w:val="24"/>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世界职业院校技能大赛土木设计与管理赛道的模型及传感器等</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4</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9</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6"/>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世界职业院校技能大赛土木设计与管理赛道的模型及传感器等</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1、报价表请用pdf格式上传至邮箱。</w:t>
      </w:r>
    </w:p>
    <w:p>
      <w:pPr>
        <w:keepNext w:val="0"/>
        <w:keepLines w:val="0"/>
        <w:pageBreakBefore w:val="0"/>
        <w:widowControl w:val="0"/>
        <w:numPr>
          <w:numId w:val="0"/>
        </w:numPr>
        <w:kinsoku/>
        <w:wordWrap/>
        <w:overflowPunct/>
        <w:topLinePunct w:val="0"/>
        <w:autoSpaceDE/>
        <w:autoSpaceDN/>
        <w:bidi w:val="0"/>
        <w:adjustRightInd/>
        <w:snapToGrid/>
        <w:spacing w:line="380" w:lineRule="exact"/>
        <w:ind w:firstLine="723" w:firstLineChars="400"/>
        <w:jc w:val="left"/>
        <w:textAlignment w:val="auto"/>
        <w:rPr>
          <w:rFonts w:hint="eastAsia" w:ascii="Calibri" w:hAnsi="Calibri" w:eastAsia="宋体" w:cs="Times New Roman"/>
          <w:b/>
          <w:bCs/>
          <w:color w:val="000000"/>
          <w:sz w:val="36"/>
          <w:szCs w:val="44"/>
          <w:lang w:val="en-US" w:eastAsia="zh-CN"/>
        </w:rPr>
      </w:pPr>
      <w:r>
        <w:rPr>
          <w:rFonts w:hint="eastAsia" w:ascii="宋体" w:hAnsi="宋体" w:eastAsia="宋体" w:cs="宋体"/>
          <w:b/>
          <w:bCs/>
          <w:sz w:val="18"/>
          <w:szCs w:val="18"/>
          <w:lang w:val="en-US" w:eastAsia="zh-CN"/>
        </w:rPr>
        <w:t>2、报价为包干价，含税费、运输费、安装费、人工费等一切费用。</w:t>
      </w:r>
      <w:r>
        <w:rPr>
          <w:rFonts w:hint="eastAsia" w:ascii="Calibri" w:hAnsi="Calibri" w:eastAsia="宋体" w:cs="Times New Roman"/>
          <w:b/>
          <w:bCs/>
          <w:color w:val="000000"/>
          <w:sz w:val="36"/>
          <w:szCs w:val="44"/>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80" w:lineRule="exact"/>
        <w:ind w:firstLine="723" w:firstLineChars="4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3、此报价必须单价、总价都要报，否则为无效报价。</w:t>
      </w:r>
    </w:p>
    <w:p>
      <w:pPr>
        <w:rPr>
          <w:rFonts w:hint="eastAsia" w:eastAsia="宋体"/>
          <w:lang w:val="en-US" w:eastAsia="zh-CN"/>
        </w:rPr>
      </w:pPr>
      <w:r>
        <w:rPr>
          <w:rFonts w:hint="eastAsia" w:ascii="宋体" w:hAnsi="宋体" w:eastAsia="宋体" w:cs="宋体"/>
          <w:b/>
          <w:bCs/>
          <w:sz w:val="18"/>
          <w:szCs w:val="18"/>
          <w:lang w:val="en-US" w:eastAsia="zh-CN"/>
        </w:rPr>
        <w:t>　      4、供应商的报价商品有品牌、型号的，需在品牌一栏填写其报价商品品牌及型号。</w:t>
      </w: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世界职业院校技能大赛土木设计与管理赛道的</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模型及传感器等采购项目参数</w:t>
      </w:r>
      <w:r>
        <w:rPr>
          <w:rFonts w:hint="eastAsia" w:ascii="方正小标宋简体" w:hAnsi="方正小标宋简体" w:eastAsia="方正小标宋简体" w:cs="方正小标宋简体"/>
          <w:sz w:val="44"/>
          <w:szCs w:val="44"/>
          <w:lang w:val="en-US" w:eastAsia="zh-CN"/>
        </w:rPr>
        <w:t>及要求</w:t>
      </w:r>
    </w:p>
    <w:tbl>
      <w:tblPr>
        <w:tblStyle w:val="35"/>
        <w:tblW w:w="10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468"/>
        <w:gridCol w:w="945"/>
        <w:gridCol w:w="766"/>
        <w:gridCol w:w="765"/>
        <w:gridCol w:w="5420"/>
        <w:gridCol w:w="691"/>
        <w:gridCol w:w="642"/>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410" w:hRule="atLeast"/>
        </w:trPr>
        <w:tc>
          <w:tcPr>
            <w:tcW w:w="10934" w:type="dxa"/>
            <w:gridSpan w:val="8"/>
            <w:shd w:val="clear" w:color="auto" w:fill="FFFFFF" w:themeFill="background1"/>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一、技术参数及要求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4" w:hRule="atLeast"/>
        </w:trPr>
        <w:tc>
          <w:tcPr>
            <w:tcW w:w="468"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94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名称</w:t>
            </w:r>
          </w:p>
        </w:tc>
        <w:tc>
          <w:tcPr>
            <w:tcW w:w="76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76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5420"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技术参数</w:t>
            </w:r>
          </w:p>
        </w:tc>
        <w:tc>
          <w:tcPr>
            <w:tcW w:w="691"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单价</w:t>
            </w:r>
          </w:p>
        </w:tc>
        <w:tc>
          <w:tcPr>
            <w:tcW w:w="642"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32"/>
                <w:szCs w:val="32"/>
                <w:lang w:eastAsia="zh-CN"/>
              </w:rPr>
              <w:t>总价</w:t>
            </w:r>
          </w:p>
        </w:tc>
        <w:tc>
          <w:tcPr>
            <w:tcW w:w="1237"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32"/>
                <w:szCs w:val="32"/>
                <w:lang w:eastAsia="zh-CN"/>
              </w:rPr>
              <w:t>品牌及型号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468"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945" w:type="dxa"/>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000000"/>
                <w:kern w:val="0"/>
                <w:sz w:val="22"/>
                <w:szCs w:val="22"/>
                <w:u w:val="none"/>
                <w:lang w:val="en-US" w:eastAsia="zh-CN" w:bidi="ar"/>
              </w:rPr>
              <w:t>养老智能监测传感器设备</w:t>
            </w:r>
          </w:p>
        </w:tc>
        <w:tc>
          <w:tcPr>
            <w:tcW w:w="76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765" w:type="dxa"/>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5420" w:type="dxa"/>
            <w:shd w:val="clear" w:color="auto" w:fill="FFFFFF" w:themeFill="background1"/>
            <w:vAlign w:val="center"/>
          </w:tcPr>
          <w:p>
            <w:pPr>
              <w:keepNext w:val="0"/>
              <w:keepLines w:val="0"/>
              <w:widowControl/>
              <w:suppressLineNumbers w:val="0"/>
              <w:jc w:val="left"/>
              <w:textAlignment w:val="center"/>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000000"/>
                <w:kern w:val="0"/>
                <w:sz w:val="22"/>
                <w:szCs w:val="22"/>
                <w:u w:val="none"/>
                <w:lang w:val="en-US" w:eastAsia="zh-CN" w:bidi="ar"/>
              </w:rPr>
              <w:t>▲1.设备包含跌倒监测雷达、智能门磁、水浸传感器、烟雾传感器、燃气传感器、智能胸牌、智能床垫、SOS便携版、SOS按钮版、SOS拉绳版</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设备可实现人员跌倒监测与报警、智能门磁管理、水浸状态实时监测与报警、烟雾浓度实时监测与火灾预警、燃气浓度实时监测与泄漏报警、人员实时定位与轨迹追踪、睡眠状态实时监测与心率及呼吸频率采集，并支持离床报警与睡眠质量分析；同时配备便携版、按钮版、拉绳版三种SOS报警装置。</w:t>
            </w:r>
          </w:p>
        </w:tc>
        <w:tc>
          <w:tcPr>
            <w:tcW w:w="691"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c>
          <w:tcPr>
            <w:tcW w:w="642"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c>
          <w:tcPr>
            <w:tcW w:w="1237"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468"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945" w:type="dxa"/>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000000"/>
                <w:kern w:val="0"/>
                <w:sz w:val="22"/>
                <w:szCs w:val="22"/>
                <w:u w:val="none"/>
                <w:lang w:val="en-US" w:eastAsia="zh-CN" w:bidi="ar"/>
              </w:rPr>
              <w:t>建筑结构健康传感器设备</w:t>
            </w:r>
          </w:p>
        </w:tc>
        <w:tc>
          <w:tcPr>
            <w:tcW w:w="76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765" w:type="dxa"/>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5420" w:type="dxa"/>
            <w:shd w:val="clear" w:color="auto" w:fill="FFFFFF" w:themeFill="background1"/>
            <w:vAlign w:val="center"/>
          </w:tcPr>
          <w:p>
            <w:pPr>
              <w:keepNext w:val="0"/>
              <w:keepLines w:val="0"/>
              <w:widowControl/>
              <w:suppressLineNumbers w:val="0"/>
              <w:jc w:val="left"/>
              <w:textAlignment w:val="center"/>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000000"/>
                <w:kern w:val="0"/>
                <w:sz w:val="22"/>
                <w:szCs w:val="22"/>
                <w:u w:val="none"/>
                <w:lang w:val="en-US" w:eastAsia="zh-CN" w:bidi="ar"/>
              </w:rPr>
              <w:t>▲1.设备包含拉线位移传感器、磁致伸缩静力水准仪、数据采集终端、4G高精度倾角振动传感器、振弦式表面应变计、四通道无线振弦采集仪</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2.设备可实现建筑结构位移高精度测量、沉降变形实时监测、多源数据融合采集、结构倾斜与振动动态监测、表面应力应变分布感知，以及振弦式传感器的无线组网与远程传输；</w:t>
            </w:r>
          </w:p>
        </w:tc>
        <w:tc>
          <w:tcPr>
            <w:tcW w:w="691"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c>
          <w:tcPr>
            <w:tcW w:w="642"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c>
          <w:tcPr>
            <w:tcW w:w="1237"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468"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945" w:type="dxa"/>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000000"/>
                <w:kern w:val="0"/>
                <w:sz w:val="22"/>
                <w:szCs w:val="22"/>
                <w:u w:val="none"/>
                <w:lang w:val="en-US" w:eastAsia="zh-CN" w:bidi="ar"/>
              </w:rPr>
              <w:t>项目实体模型</w:t>
            </w:r>
          </w:p>
        </w:tc>
        <w:tc>
          <w:tcPr>
            <w:tcW w:w="76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765" w:type="dxa"/>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5420" w:type="dxa"/>
            <w:shd w:val="clear" w:color="auto" w:fill="FFFFFF" w:themeFill="background1"/>
            <w:vAlign w:val="center"/>
          </w:tcPr>
          <w:p>
            <w:pPr>
              <w:keepNext w:val="0"/>
              <w:keepLines w:val="0"/>
              <w:widowControl/>
              <w:suppressLineNumbers w:val="0"/>
              <w:jc w:val="left"/>
              <w:textAlignment w:val="center"/>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000000"/>
                <w:kern w:val="0"/>
                <w:sz w:val="22"/>
                <w:szCs w:val="22"/>
                <w:u w:val="none"/>
                <w:lang w:val="en-US" w:eastAsia="zh-CN" w:bidi="ar"/>
              </w:rPr>
              <w:t>▲1.须包含结构加固模型和智能康养建造模型各一套。</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2.结构加固模型：原实际模型尺寸长≥7500mm,宽≥5900mm，高度≥3600mm,现等比例缩小制作为长度≥1000mm,宽度≥786mm,高度≥480mm，构建包含柱、梁、板、加固构建，能满足建筑智能监测设备安装。</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3.智能康养建筑模型：原实际模型尺寸为长宽高分别为长≥8400mm，宽≥3950mm,高≥3000mm,现等比例缩小制作尺寸为：长≥1500mm,宽≥705mm,高度≥535mm，构建制作包含：墙体、柱、门、家具等，能满足康养设备安装。</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设备材质：三维立体雕刻骨架成型，彩喷着色或高分子ABS板与建筑模软硬结合制作，外立面镀膜采用进口龙膜，色彩根据建筑外立面颜色选择；外立面采用拉高板外部真石漆采用水性漆（或哑光氟碳漆工艺，汽车金属漆喷涂上色—金属质感光泽度）；栏杆及窗户玻璃用玻璃/透明亚克力镀膜。</w:t>
            </w:r>
          </w:p>
        </w:tc>
        <w:tc>
          <w:tcPr>
            <w:tcW w:w="691"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c>
          <w:tcPr>
            <w:tcW w:w="642"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c>
          <w:tcPr>
            <w:tcW w:w="1237"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468"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945" w:type="dxa"/>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000000"/>
                <w:kern w:val="0"/>
                <w:sz w:val="22"/>
                <w:szCs w:val="22"/>
                <w:u w:val="none"/>
                <w:lang w:val="en-US" w:eastAsia="zh-CN" w:bidi="ar"/>
              </w:rPr>
              <w:t>数字孪生平台</w:t>
            </w:r>
          </w:p>
        </w:tc>
        <w:tc>
          <w:tcPr>
            <w:tcW w:w="76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765" w:type="dxa"/>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节点</w:t>
            </w:r>
          </w:p>
        </w:tc>
        <w:tc>
          <w:tcPr>
            <w:tcW w:w="5420" w:type="dxa"/>
            <w:shd w:val="clear" w:color="auto" w:fill="FFFFFF" w:themeFill="background1"/>
            <w:vAlign w:val="center"/>
          </w:tcPr>
          <w:p>
            <w:pPr>
              <w:keepNext w:val="0"/>
              <w:keepLines w:val="0"/>
              <w:widowControl/>
              <w:suppressLineNumbers w:val="0"/>
              <w:jc w:val="left"/>
              <w:textAlignment w:val="center"/>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000000"/>
                <w:kern w:val="0"/>
                <w:sz w:val="22"/>
                <w:szCs w:val="22"/>
                <w:u w:val="none"/>
                <w:lang w:val="en-US" w:eastAsia="zh-CN" w:bidi="ar"/>
              </w:rPr>
              <w:t>1.平台是一款基于BS技术架构的企业级三维可视化交互平台,平台采用先进的3D渲染技术,结合Spring Boot后端架构和Vue 3前端框架,提供沉浸式的数字孪生体验,支持传感检测设备的三维展示、传感器管理、测量分析、漫游浏览、数据监控、AI预警等多种功能。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2.平台可以实时预览场景效果，即时调整，拥有丰富的预制组件库，如设备、传感器、场景元素等，提供多种行业场景模板，快速初始化，支持场景版本保存和回滚。</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3.模型转换引擎支持多种格式，包含有Autodesk通用3D格式、通用几何格式、Revit建筑模型、点云数据格式、3D Studio格式、3D打印格式、Blender格式、Collada格式、Web3D标准格式等。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模型转换引擎可选择模型文件，一键转换为Web优化格式，支持批量上传和转换多个模型，自动优化模型，提升Web端渲染性能，自动压缩和优化纹理，智能降面，保持视觉效果的同时减少面数，自动生成多级细节模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★5.该平台可用于养老与建筑健康监测、全流程管理、数据对接及养老与建筑监测检测模型上传展示等场景。</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6.平台可实时显示传感器数据，有折线图、柱状图、饼图等多种图表表现形式，在3D场景中直接显示数据标签，根据数据值改变设备颜色，包含正常、警告、异常三种，列表形式下可展示所有传感器数据。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7.平台可回放指定时间段的数据变化，查看数据变化趋势，导出历史数据为CSV、Excel等格式。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8.平台上可为每个传感器设置告警阈值，超出阈值时发送告警通知，记录所有告警事件，统计告警频次和类型。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9.平台智能报警，平台基于YOLOv8实时检测明火，识别烟雾，提前预警火灾，可检测未授权人员进入，并且可基于机器学习识别设备异常行为，LSTM预测设备可能发生的故障。</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10.平台具备智能干预功能，检测到明火时自动启动喷淋系统，且在检测到危险时自动停机保护，会发送紧急通知给相关人员，自动执行预设的应急预案，平台具备远程控制设备开关和参数的功能。</w:t>
            </w:r>
          </w:p>
        </w:tc>
        <w:tc>
          <w:tcPr>
            <w:tcW w:w="691"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c>
          <w:tcPr>
            <w:tcW w:w="642"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c>
          <w:tcPr>
            <w:tcW w:w="1237"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468"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945" w:type="dxa"/>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000000"/>
                <w:kern w:val="0"/>
                <w:sz w:val="22"/>
                <w:szCs w:val="22"/>
                <w:u w:val="none"/>
                <w:lang w:val="en-US" w:eastAsia="zh-CN" w:bidi="ar"/>
              </w:rPr>
              <w:t>数建AI</w:t>
            </w:r>
          </w:p>
        </w:tc>
        <w:tc>
          <w:tcPr>
            <w:tcW w:w="76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765" w:type="dxa"/>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节点</w:t>
            </w:r>
          </w:p>
        </w:tc>
        <w:tc>
          <w:tcPr>
            <w:tcW w:w="5420" w:type="dxa"/>
            <w:shd w:val="clear" w:color="auto" w:fill="FFFFFF" w:themeFill="background1"/>
            <w:vAlign w:val="center"/>
          </w:tcPr>
          <w:p>
            <w:pPr>
              <w:keepNext w:val="0"/>
              <w:keepLines w:val="0"/>
              <w:widowControl/>
              <w:suppressLineNumbers w:val="0"/>
              <w:jc w:val="left"/>
              <w:textAlignment w:val="center"/>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000000"/>
                <w:kern w:val="0"/>
                <w:sz w:val="22"/>
                <w:szCs w:val="22"/>
                <w:u w:val="none"/>
                <w:lang w:val="en-US" w:eastAsia="zh-CN" w:bidi="ar"/>
              </w:rPr>
              <w:t>1.功能包含：问题分析助手、文档智能解析、图纸智能解析、智能课程构建、视频智能解析、数字人视频生成、PPT数字人讲课、用户问答审核、企业资源库、企业知识库、个人资源库、个人知识库、系统知识库。</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问题分析助手包含联网搜索和知识库搜索，知识库包括：建筑法规规范、建筑专业知识、装配式建筑知识、智能建造知识、检测监测加固修复知识等，联网搜索在外部接入阿里千问大模型、deepseek模型等，以便于获得更准确更具有时效性的数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平台支持导入点云数据与养老规范，通过智能分析病害、处理数据、生成改造方案并输出二维平面图纸。支持学生前期对数据进行训练以构建AI模型，比赛时则展示点云数据导入、AI智能分析数据与病害、生成改造方案及输出二维平面图纸的流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4.内置垂直领域智能体专业模型，可支持老师和学生与智能体语音交流互动，解答学习或工作中遇到的问题。</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文档智能解析，分为智能摘要与索引、结构化信息提取和动态关联教学资源三部分，通过点击或拖拽的方式能够将文件文档进行上传，上传格式包含有PDF、Word等，上传后可以对内容进行解析，自动结构化解析、生成摘要与知识点索引，智能匹配教学资源。</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图纸智能解析，可通过点击或拖拽的方式导入建筑施工工程图纸，根据格式上传完成后可点击一键解析功能，能够对图纸内容进行文字解读，自动识别关键构件、提取参数，生成数字化解析报告，提升学生对图纸的学习能力。</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7.智能课程构建，可通过设定课程名称，选择课程所属分类，设置课程封面，导入课程介绍视频，编写课程简介、课程目标、课程设计和课程特色，完成后可进行AI组课，辅助学习。</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8.视频智能解析，通过点击或拖拽的方式能够将视频文件进行上传，上传后得视频文件，可以自动识别关键构件、提取参数，生成数字化解析报告。</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9.数字人视频生成，可根据规范，上传视频，生成AI数字人模型，模型新增后输入内容，选择数字人模型，生成AI数字人讲解视频。</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10.PPT数字人讲课，根据规范上传PPT文件，系统会自动解析PPT文件并生成数字人视频。</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11.用户问答审核，平台管理者可在次页面查看用户问答记录并审核，确保问答内容遵纪守法，且可以查看用户对问答过程的满意程度，方便管理者进行更新与修改。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企业资源库、企业知识库、个人资源库、个人知识库、系统知识库，以上知识库具备有多种类型的资源知识，包含有动画、PPT、视频、模型、文档、图片、仿真等类型，且可根据以上类型资源制作试题形成题库，知识库可根据需求进行新增添加。</w:t>
            </w:r>
          </w:p>
        </w:tc>
        <w:tc>
          <w:tcPr>
            <w:tcW w:w="691"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c>
          <w:tcPr>
            <w:tcW w:w="642"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c>
          <w:tcPr>
            <w:tcW w:w="1237"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468"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945" w:type="dxa"/>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000000"/>
                <w:kern w:val="0"/>
                <w:sz w:val="22"/>
                <w:szCs w:val="22"/>
                <w:u w:val="none"/>
                <w:lang w:val="en-US" w:eastAsia="zh-CN" w:bidi="ar"/>
              </w:rPr>
              <w:t>MR设备</w:t>
            </w:r>
          </w:p>
        </w:tc>
        <w:tc>
          <w:tcPr>
            <w:tcW w:w="76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765" w:type="dxa"/>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5420" w:type="dxa"/>
            <w:shd w:val="clear" w:color="auto" w:fill="FFFFFF" w:themeFill="background1"/>
            <w:vAlign w:val="center"/>
          </w:tcPr>
          <w:p>
            <w:pPr>
              <w:keepNext w:val="0"/>
              <w:keepLines w:val="0"/>
              <w:widowControl/>
              <w:suppressLineNumbers w:val="0"/>
              <w:jc w:val="left"/>
              <w:textAlignment w:val="center"/>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000000"/>
                <w:kern w:val="0"/>
                <w:sz w:val="22"/>
                <w:szCs w:val="22"/>
                <w:u w:val="none"/>
                <w:lang w:val="en-US" w:eastAsia="zh-CN" w:bidi="ar"/>
              </w:rPr>
              <w:t>1、图像传感器：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1）彩色高清摄像头个数≥1 ，分辨率≥1300万，帧率≥30；</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 黑白摄像机≥2，分辨率≥100万，帧率≥60；</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3）红外摄像机≥1，分辨率≥100万，帧率≥60。</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2、跟踪交互：</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1）需支持头戴式设备实时双环形手柄跟踪交互，跟踪距离≥1m，跟踪帧率≥60 Hz，跟踪精度≤1mm，定位角度≤0.1度；</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2）需支持手势识别功能。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3、空间定位：</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1）需支持无需架设外部摄像头，在只依靠头戴式设备自身的空间定位功能的情况下，即可实现6DOF自由度空间定位功能。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2）需支持在不小于50平米的空间内，在无需提前预扫描空间环境的前提下，定位用户在空间中的位置，进行虚拟仿真实训。</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4、需支持无线/有线串流。</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5、支持采用miracast协议直接投屏到第三方显示器。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6、需包含电源适配器≥1，电池≥1，USB充电线≥1。</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7.支持实物交互：可在实物上添加信标，对现实物体进行识别和跟踪，实现实物的空间交互；</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8、需包含MR交互系统：结合MR头戴式显示设备，用于教学展示，可实现虚实融合功能。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9.需包含6DOF手柄控制系统，支持手柄六自由度跟踪；</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10、界面需支持显示设备电量、音量、亮度、系统信息与时间日期，需支持提供无线网络、蓝牙连接，外设管理，系统版本更新功能。</w:t>
            </w:r>
          </w:p>
        </w:tc>
        <w:tc>
          <w:tcPr>
            <w:tcW w:w="691"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c>
          <w:tcPr>
            <w:tcW w:w="642"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c>
          <w:tcPr>
            <w:tcW w:w="1237"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0934" w:type="dxa"/>
            <w:gridSpan w:val="8"/>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合计：小写：</w:t>
            </w:r>
            <w:r>
              <w:rPr>
                <w:rFonts w:hint="eastAsia" w:ascii="仿宋_GB2312" w:hAnsi="仿宋_GB2312" w:eastAsia="仿宋_GB2312" w:cs="仿宋_GB2312"/>
                <w:sz w:val="32"/>
                <w:szCs w:val="32"/>
                <w:lang w:val="en-US" w:eastAsia="zh-CN"/>
              </w:rPr>
              <w:t xml:space="preserve">     元、大写：                  元整。</w:t>
            </w:r>
          </w:p>
        </w:tc>
      </w:tr>
    </w:tbl>
    <w:tbl>
      <w:tblPr>
        <w:tblStyle w:val="35"/>
        <w:tblpPr w:leftFromText="180" w:rightFromText="180" w:vertAnchor="text" w:horzAnchor="page" w:tblpX="1043" w:tblpY="438"/>
        <w:tblOverlap w:val="never"/>
        <w:tblW w:w="10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933"/>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540" w:hRule="atLeast"/>
        </w:trPr>
        <w:tc>
          <w:tcPr>
            <w:tcW w:w="10933" w:type="dxa"/>
            <w:gridSpan w:val="2"/>
            <w:shd w:val="clear" w:color="auto" w:fill="FFFFFF" w:themeFill="background1"/>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933" w:type="dxa"/>
            <w:shd w:val="clear" w:color="auto" w:fill="FFFFFF" w:themeFill="background1"/>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交货时间</w:t>
            </w:r>
          </w:p>
        </w:tc>
        <w:tc>
          <w:tcPr>
            <w:tcW w:w="9000" w:type="dxa"/>
            <w:shd w:val="clear" w:color="auto" w:fill="FFFFFF" w:themeFill="background1"/>
          </w:tcPr>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合同签订生效之日起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个工作日之内。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933" w:type="dxa"/>
            <w:shd w:val="clear" w:color="auto" w:fill="FFFFFF" w:themeFill="background1"/>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交货地点</w:t>
            </w:r>
          </w:p>
        </w:tc>
        <w:tc>
          <w:tcPr>
            <w:tcW w:w="9000" w:type="dxa"/>
            <w:shd w:val="clear" w:color="auto" w:fill="FFFFFF" w:themeFill="background1"/>
          </w:tcPr>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到学</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内指定地点。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933"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付款方式</w:t>
            </w:r>
          </w:p>
        </w:tc>
        <w:tc>
          <w:tcPr>
            <w:tcW w:w="9000"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全款支付</w:t>
            </w:r>
            <w:r>
              <w:rPr>
                <w:rFonts w:hint="eastAsia" w:ascii="仿宋_GB2312" w:hAnsi="仿宋_GB2312" w:eastAsia="仿宋_GB2312" w:cs="仿宋_GB2312"/>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933"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验收方式</w:t>
            </w:r>
          </w:p>
        </w:tc>
        <w:tc>
          <w:tcPr>
            <w:tcW w:w="9000"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严格按照《财政部&lt;关于进一步加强政府采购需求和履约验收管理&gt;的指导意见》(财库[2016]205号)的要求进行验收。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933" w:type="dxa"/>
            <w:shd w:val="clear" w:color="auto" w:fill="FFFFFF" w:themeFill="background1"/>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售后服务</w:t>
            </w:r>
          </w:p>
        </w:tc>
        <w:tc>
          <w:tcPr>
            <w:tcW w:w="9000" w:type="dxa"/>
            <w:shd w:val="clear" w:color="auto" w:fill="FFFFFF" w:themeFill="background1"/>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按国家相关规定执行。</w:t>
            </w:r>
          </w:p>
        </w:tc>
      </w:tr>
    </w:tbl>
    <w:p>
      <w:pPr>
        <w:widowControl w:val="0"/>
        <w:jc w:val="both"/>
        <w:rPr>
          <w:rFonts w:hint="eastAsia" w:ascii="仿宋_GB2312" w:hAnsi="Times New Roman" w:eastAsia="仿宋_GB2312" w:cs="Times New Roman"/>
          <w:kern w:val="2"/>
          <w:sz w:val="32"/>
          <w:szCs w:val="22"/>
          <w:lang w:val="en-US" w:eastAsia="zh-CN" w:bidi="ar-SA"/>
        </w:rPr>
      </w:pPr>
    </w:p>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2E16A30"/>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2F07E36"/>
    <w:rsid w:val="13503DB1"/>
    <w:rsid w:val="13B16302"/>
    <w:rsid w:val="1403756B"/>
    <w:rsid w:val="14F31E7A"/>
    <w:rsid w:val="14FC2F9D"/>
    <w:rsid w:val="15562691"/>
    <w:rsid w:val="157848CA"/>
    <w:rsid w:val="160903E8"/>
    <w:rsid w:val="1642323C"/>
    <w:rsid w:val="170462F8"/>
    <w:rsid w:val="17195864"/>
    <w:rsid w:val="17AE352F"/>
    <w:rsid w:val="18DF3200"/>
    <w:rsid w:val="19040048"/>
    <w:rsid w:val="19093657"/>
    <w:rsid w:val="193910E5"/>
    <w:rsid w:val="195135D8"/>
    <w:rsid w:val="1A7D5684"/>
    <w:rsid w:val="1AC15311"/>
    <w:rsid w:val="1B134EC3"/>
    <w:rsid w:val="1BD402C6"/>
    <w:rsid w:val="1C2C52C5"/>
    <w:rsid w:val="1CAD5CEA"/>
    <w:rsid w:val="1D113FA4"/>
    <w:rsid w:val="1D5B7B20"/>
    <w:rsid w:val="1E8F3ED4"/>
    <w:rsid w:val="20371A9D"/>
    <w:rsid w:val="20E76CAB"/>
    <w:rsid w:val="21394209"/>
    <w:rsid w:val="21EA0F6E"/>
    <w:rsid w:val="229F0C1C"/>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7D97260"/>
    <w:rsid w:val="68242688"/>
    <w:rsid w:val="6873134A"/>
    <w:rsid w:val="68DF31E0"/>
    <w:rsid w:val="68F77EE8"/>
    <w:rsid w:val="6A473E6C"/>
    <w:rsid w:val="6C3A4D28"/>
    <w:rsid w:val="6C476A65"/>
    <w:rsid w:val="6D1143E7"/>
    <w:rsid w:val="6D243D76"/>
    <w:rsid w:val="6EEB6630"/>
    <w:rsid w:val="70A70FB3"/>
    <w:rsid w:val="70EF3BC6"/>
    <w:rsid w:val="70FE0565"/>
    <w:rsid w:val="71065830"/>
    <w:rsid w:val="711F1F35"/>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9"/>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5"/>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6"/>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7"/>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3">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9"/>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2"/>
    <w:unhideWhenUsed/>
    <w:qFormat/>
    <w:uiPriority w:val="99"/>
    <w:rPr>
      <w:rFonts w:asciiTheme="minorHAnsi" w:hAnsiTheme="minorHAnsi" w:eastAsiaTheme="minorEastAsia" w:cstheme="minorBidi"/>
      <w:b/>
      <w:bCs/>
      <w:szCs w:val="22"/>
    </w:rPr>
  </w:style>
  <w:style w:type="paragraph" w:styleId="9">
    <w:name w:val="annotation text"/>
    <w:basedOn w:val="1"/>
    <w:link w:val="78"/>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4"/>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Plain Text"/>
    <w:qFormat/>
    <w:uiPriority w:val="0"/>
    <w:pPr>
      <w:widowControl w:val="0"/>
      <w:jc w:val="both"/>
    </w:pPr>
    <w:rPr>
      <w:rFonts w:ascii="宋体" w:hAnsi="Courier New" w:eastAsia="宋体" w:cs="Times New Roman"/>
      <w:kern w:val="2"/>
      <w:sz w:val="21"/>
      <w:szCs w:val="22"/>
      <w:lang w:val="en-US" w:eastAsia="zh-CN" w:bidi="ar-SA"/>
    </w:rPr>
  </w:style>
  <w:style w:type="paragraph" w:styleId="14">
    <w:name w:val="Date"/>
    <w:basedOn w:val="1"/>
    <w:next w:val="1"/>
    <w:link w:val="42"/>
    <w:unhideWhenUsed/>
    <w:qFormat/>
    <w:uiPriority w:val="99"/>
    <w:pPr>
      <w:ind w:left="100" w:leftChars="2500"/>
    </w:pPr>
  </w:style>
  <w:style w:type="paragraph" w:styleId="15">
    <w:name w:val="Balloon Text"/>
    <w:basedOn w:val="1"/>
    <w:link w:val="48"/>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rPr>
      <w:rFonts w:ascii="等线" w:hAnsi="等线" w:eastAsia="等线" w:cs="Times New Roman"/>
    </w:rPr>
  </w:style>
  <w:style w:type="paragraph" w:styleId="19">
    <w:name w:val="toc 4"/>
    <w:basedOn w:val="1"/>
    <w:next w:val="1"/>
    <w:unhideWhenUsed/>
    <w:qFormat/>
    <w:uiPriority w:val="39"/>
    <w:pPr>
      <w:ind w:left="1260" w:leftChars="600"/>
    </w:pPr>
    <w:rPr>
      <w:rFonts w:ascii="等线" w:hAnsi="等线" w:eastAsia="等线" w:cs="Times New Roman"/>
    </w:rPr>
  </w:style>
  <w:style w:type="paragraph" w:styleId="20">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Title"/>
    <w:basedOn w:val="1"/>
    <w:next w:val="1"/>
    <w:qFormat/>
    <w:uiPriority w:val="10"/>
    <w:pPr>
      <w:spacing w:before="240" w:after="60"/>
      <w:jc w:val="center"/>
      <w:outlineLvl w:val="0"/>
    </w:pPr>
    <w:rPr>
      <w:rFonts w:ascii="Cambria" w:hAnsi="Cambria"/>
      <w:b/>
      <w:kern w:val="0"/>
      <w:sz w:val="32"/>
    </w:rPr>
  </w:style>
  <w:style w:type="character" w:styleId="24">
    <w:name w:val="Strong"/>
    <w:basedOn w:val="23"/>
    <w:qFormat/>
    <w:uiPriority w:val="22"/>
    <w:rPr>
      <w:b/>
      <w:bCs/>
    </w:rPr>
  </w:style>
  <w:style w:type="character" w:styleId="25">
    <w:name w:val="FollowedHyperlink"/>
    <w:basedOn w:val="23"/>
    <w:semiHidden/>
    <w:unhideWhenUsed/>
    <w:qFormat/>
    <w:uiPriority w:val="99"/>
    <w:rPr>
      <w:color w:val="800080"/>
      <w:u w:val="single"/>
    </w:rPr>
  </w:style>
  <w:style w:type="character" w:styleId="26">
    <w:name w:val="HTML Definition"/>
    <w:basedOn w:val="23"/>
    <w:semiHidden/>
    <w:unhideWhenUsed/>
    <w:qFormat/>
    <w:uiPriority w:val="99"/>
    <w:rPr>
      <w:i/>
      <w:iCs/>
    </w:rPr>
  </w:style>
  <w:style w:type="character" w:styleId="27">
    <w:name w:val="HTML Acronym"/>
    <w:basedOn w:val="23"/>
    <w:semiHidden/>
    <w:unhideWhenUsed/>
    <w:qFormat/>
    <w:uiPriority w:val="99"/>
  </w:style>
  <w:style w:type="character" w:styleId="28">
    <w:name w:val="HTML Variable"/>
    <w:basedOn w:val="23"/>
    <w:semiHidden/>
    <w:unhideWhenUsed/>
    <w:qFormat/>
    <w:uiPriority w:val="99"/>
  </w:style>
  <w:style w:type="character" w:styleId="29">
    <w:name w:val="Hyperlink"/>
    <w:basedOn w:val="23"/>
    <w:unhideWhenUsed/>
    <w:qFormat/>
    <w:uiPriority w:val="99"/>
    <w:rPr>
      <w:color w:val="0000FF"/>
      <w:u w:val="single"/>
    </w:rPr>
  </w:style>
  <w:style w:type="character" w:styleId="30">
    <w:name w:val="HTML Code"/>
    <w:basedOn w:val="23"/>
    <w:semiHidden/>
    <w:unhideWhenUsed/>
    <w:qFormat/>
    <w:uiPriority w:val="99"/>
    <w:rPr>
      <w:rFonts w:ascii="serif" w:hAnsi="serif" w:eastAsia="serif" w:cs="serif"/>
      <w:sz w:val="21"/>
      <w:szCs w:val="21"/>
    </w:rPr>
  </w:style>
  <w:style w:type="character" w:styleId="31">
    <w:name w:val="annotation reference"/>
    <w:basedOn w:val="23"/>
    <w:unhideWhenUsed/>
    <w:qFormat/>
    <w:uiPriority w:val="99"/>
    <w:rPr>
      <w:sz w:val="21"/>
      <w:szCs w:val="21"/>
    </w:rPr>
  </w:style>
  <w:style w:type="character" w:styleId="32">
    <w:name w:val="HTML Cite"/>
    <w:basedOn w:val="23"/>
    <w:semiHidden/>
    <w:unhideWhenUsed/>
    <w:qFormat/>
    <w:uiPriority w:val="99"/>
  </w:style>
  <w:style w:type="character" w:styleId="33">
    <w:name w:val="HTML Keyboard"/>
    <w:basedOn w:val="23"/>
    <w:semiHidden/>
    <w:unhideWhenUsed/>
    <w:qFormat/>
    <w:uiPriority w:val="99"/>
    <w:rPr>
      <w:rFonts w:hint="default" w:ascii="serif" w:hAnsi="serif" w:eastAsia="serif" w:cs="serif"/>
      <w:sz w:val="21"/>
      <w:szCs w:val="21"/>
    </w:rPr>
  </w:style>
  <w:style w:type="character" w:styleId="34">
    <w:name w:val="HTML Sample"/>
    <w:basedOn w:val="23"/>
    <w:semiHidden/>
    <w:unhideWhenUsed/>
    <w:qFormat/>
    <w:uiPriority w:val="99"/>
    <w:rPr>
      <w:rFonts w:hint="default" w:ascii="serif" w:hAnsi="serif" w:eastAsia="serif" w:cs="serif"/>
      <w:sz w:val="21"/>
      <w:szCs w:val="21"/>
    </w:rPr>
  </w:style>
  <w:style w:type="table" w:styleId="36">
    <w:name w:val="Table Grid"/>
    <w:basedOn w:val="35"/>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7">
    <w:name w:val="Default"/>
    <w:next w:val="38"/>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9">
    <w:name w:val="首行缩进"/>
    <w:basedOn w:val="1"/>
    <w:qFormat/>
    <w:uiPriority w:val="0"/>
    <w:pPr>
      <w:spacing w:line="360" w:lineRule="auto"/>
      <w:ind w:firstLine="480" w:firstLineChars="200"/>
      <w:jc w:val="left"/>
    </w:pPr>
    <w:rPr>
      <w:rFonts w:ascii="宋体" w:hAnsi="宋体"/>
      <w:sz w:val="24"/>
    </w:rPr>
  </w:style>
  <w:style w:type="character" w:customStyle="1" w:styleId="40">
    <w:name w:val="页眉 Char"/>
    <w:basedOn w:val="23"/>
    <w:link w:val="17"/>
    <w:qFormat/>
    <w:uiPriority w:val="99"/>
    <w:rPr>
      <w:sz w:val="18"/>
      <w:szCs w:val="18"/>
    </w:rPr>
  </w:style>
  <w:style w:type="character" w:customStyle="1" w:styleId="41">
    <w:name w:val="页脚 Char"/>
    <w:basedOn w:val="23"/>
    <w:link w:val="16"/>
    <w:qFormat/>
    <w:uiPriority w:val="99"/>
    <w:rPr>
      <w:sz w:val="18"/>
      <w:szCs w:val="18"/>
    </w:rPr>
  </w:style>
  <w:style w:type="character" w:customStyle="1" w:styleId="42">
    <w:name w:val="日期 Char"/>
    <w:basedOn w:val="23"/>
    <w:link w:val="14"/>
    <w:qFormat/>
    <w:uiPriority w:val="99"/>
  </w:style>
  <w:style w:type="paragraph" w:styleId="4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表格"/>
    <w:basedOn w:val="1"/>
    <w:next w:val="1"/>
    <w:qFormat/>
    <w:uiPriority w:val="99"/>
    <w:pPr>
      <w:widowControl/>
      <w:jc w:val="center"/>
    </w:pPr>
    <w:rPr>
      <w:rFonts w:ascii="Calibri" w:hAnsi="Calibri" w:eastAsia="宋体" w:cs="黑体"/>
      <w:kern w:val="21"/>
      <w:szCs w:val="24"/>
    </w:rPr>
  </w:style>
  <w:style w:type="paragraph" w:customStyle="1" w:styleId="45">
    <w:name w:val="列出段落1"/>
    <w:basedOn w:val="1"/>
    <w:qFormat/>
    <w:uiPriority w:val="99"/>
    <w:pPr>
      <w:ind w:firstLine="420" w:firstLineChars="200"/>
    </w:pPr>
    <w:rPr>
      <w:rFonts w:ascii="Calibri" w:hAnsi="Calibri" w:eastAsia="宋体" w:cs="黑体"/>
    </w:rPr>
  </w:style>
  <w:style w:type="paragraph" w:customStyle="1" w:styleId="46">
    <w:name w:val="列出段落2"/>
    <w:basedOn w:val="1"/>
    <w:unhideWhenUsed/>
    <w:qFormat/>
    <w:uiPriority w:val="99"/>
    <w:pPr>
      <w:ind w:firstLine="420" w:firstLineChars="200"/>
    </w:pPr>
  </w:style>
  <w:style w:type="paragraph" w:customStyle="1" w:styleId="47">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批注框文本 Char"/>
    <w:basedOn w:val="23"/>
    <w:link w:val="15"/>
    <w:qFormat/>
    <w:uiPriority w:val="99"/>
    <w:rPr>
      <w:sz w:val="18"/>
      <w:szCs w:val="18"/>
    </w:rPr>
  </w:style>
  <w:style w:type="character" w:customStyle="1" w:styleId="49">
    <w:name w:val="标题 1 Char"/>
    <w:basedOn w:val="23"/>
    <w:link w:val="3"/>
    <w:qFormat/>
    <w:uiPriority w:val="9"/>
    <w:rPr>
      <w:rFonts w:ascii="Times New Roman" w:hAnsi="Times New Roman" w:eastAsia="宋体" w:cs="Times New Roman"/>
      <w:b/>
      <w:kern w:val="44"/>
      <w:sz w:val="32"/>
      <w:szCs w:val="20"/>
    </w:rPr>
  </w:style>
  <w:style w:type="paragraph" w:customStyle="1" w:styleId="50">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1">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2">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3">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5">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6">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7">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8">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9">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0">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2">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4">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6">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8">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9">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70">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2">
    <w:name w:val="标题 1_0"/>
    <w:basedOn w:val="1"/>
    <w:next w:val="1"/>
    <w:link w:val="73"/>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3">
    <w:name w:val="标题 1 Char_0"/>
    <w:link w:val="72"/>
    <w:qFormat/>
    <w:uiPriority w:val="9"/>
    <w:rPr>
      <w:rFonts w:ascii="Calibri" w:hAnsi="Calibri" w:eastAsia="宋体" w:cs="Times New Roman"/>
      <w:b/>
      <w:bCs/>
      <w:kern w:val="44"/>
      <w:sz w:val="44"/>
      <w:szCs w:val="44"/>
    </w:rPr>
  </w:style>
  <w:style w:type="paragraph" w:styleId="74">
    <w:name w:val="List Paragraph"/>
    <w:basedOn w:val="1"/>
    <w:qFormat/>
    <w:uiPriority w:val="1"/>
    <w:pPr>
      <w:ind w:firstLine="420" w:firstLineChars="200"/>
    </w:pPr>
    <w:rPr>
      <w:rFonts w:ascii="Times New Roman" w:hAnsi="Times New Roman" w:eastAsia="宋体" w:cs="Times New Roman"/>
      <w:szCs w:val="20"/>
    </w:rPr>
  </w:style>
  <w:style w:type="character" w:customStyle="1" w:styleId="75">
    <w:name w:val="标题 2 Char"/>
    <w:basedOn w:val="23"/>
    <w:link w:val="4"/>
    <w:qFormat/>
    <w:uiPriority w:val="0"/>
    <w:rPr>
      <w:rFonts w:ascii="黑体" w:hAnsi="黑体" w:eastAsia="黑体" w:cs="Times New Roman"/>
      <w:sz w:val="32"/>
      <w:szCs w:val="24"/>
    </w:rPr>
  </w:style>
  <w:style w:type="character" w:customStyle="1" w:styleId="76">
    <w:name w:val="标题 3 Char"/>
    <w:basedOn w:val="23"/>
    <w:link w:val="5"/>
    <w:semiHidden/>
    <w:qFormat/>
    <w:uiPriority w:val="9"/>
    <w:rPr>
      <w:rFonts w:ascii="等线" w:hAnsi="等线" w:eastAsia="等线" w:cs="Times New Roman"/>
      <w:b/>
      <w:bCs/>
      <w:sz w:val="32"/>
      <w:szCs w:val="32"/>
    </w:rPr>
  </w:style>
  <w:style w:type="character" w:customStyle="1" w:styleId="77">
    <w:name w:val="标题 4 Char"/>
    <w:basedOn w:val="23"/>
    <w:link w:val="6"/>
    <w:semiHidden/>
    <w:qFormat/>
    <w:uiPriority w:val="9"/>
    <w:rPr>
      <w:rFonts w:ascii="等线 Light" w:hAnsi="等线 Light" w:eastAsia="等线 Light" w:cs="Times New Roman"/>
      <w:b/>
      <w:bCs/>
      <w:sz w:val="28"/>
      <w:szCs w:val="28"/>
    </w:rPr>
  </w:style>
  <w:style w:type="character" w:customStyle="1" w:styleId="78">
    <w:name w:val="批注文字 Char"/>
    <w:basedOn w:val="23"/>
    <w:link w:val="9"/>
    <w:qFormat/>
    <w:uiPriority w:val="99"/>
    <w:rPr>
      <w:rFonts w:ascii="Calibri" w:hAnsi="Calibri" w:eastAsia="宋体" w:cs="Calibri"/>
      <w:szCs w:val="21"/>
    </w:rPr>
  </w:style>
  <w:style w:type="character" w:customStyle="1" w:styleId="79">
    <w:name w:val="正文文本 Char"/>
    <w:basedOn w:val="23"/>
    <w:link w:val="2"/>
    <w:qFormat/>
    <w:uiPriority w:val="99"/>
    <w:rPr>
      <w:rFonts w:ascii="Times New Roman" w:hAnsi="Times New Roman" w:eastAsia="宋体" w:cs="Times New Roman"/>
      <w:sz w:val="28"/>
      <w:szCs w:val="20"/>
    </w:rPr>
  </w:style>
  <w:style w:type="character" w:customStyle="1" w:styleId="80">
    <w:name w:val="正文文本_"/>
    <w:basedOn w:val="23"/>
    <w:link w:val="81"/>
    <w:qFormat/>
    <w:uiPriority w:val="0"/>
    <w:rPr>
      <w:rFonts w:ascii="MingLiU" w:hAnsi="MingLiU" w:eastAsia="MingLiU" w:cs="MingLiU"/>
      <w:spacing w:val="-20"/>
      <w:sz w:val="26"/>
      <w:szCs w:val="26"/>
      <w:shd w:val="clear" w:color="auto" w:fill="FFFFFF"/>
    </w:rPr>
  </w:style>
  <w:style w:type="paragraph" w:customStyle="1" w:styleId="81">
    <w:name w:val="正文文本1"/>
    <w:basedOn w:val="1"/>
    <w:link w:val="80"/>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2">
    <w:name w:val="正文文本 + Segoe UI"/>
    <w:basedOn w:val="80"/>
    <w:qFormat/>
    <w:uiPriority w:val="0"/>
    <w:rPr>
      <w:rFonts w:ascii="Segoe UI" w:hAnsi="Segoe UI" w:eastAsia="Segoe UI" w:cs="Segoe UI"/>
      <w:b/>
      <w:bCs/>
      <w:color w:val="000000"/>
      <w:spacing w:val="-10"/>
      <w:w w:val="100"/>
      <w:position w:val="0"/>
      <w:lang w:val="zh-CN" w:eastAsia="zh-CN" w:bidi="zh-CN"/>
    </w:rPr>
  </w:style>
  <w:style w:type="character" w:customStyle="1" w:styleId="83">
    <w:name w:val="标题 #1_"/>
    <w:basedOn w:val="23"/>
    <w:link w:val="84"/>
    <w:qFormat/>
    <w:uiPriority w:val="0"/>
    <w:rPr>
      <w:rFonts w:ascii="MingLiU" w:hAnsi="MingLiU" w:eastAsia="MingLiU" w:cs="MingLiU"/>
      <w:spacing w:val="-30"/>
      <w:sz w:val="46"/>
      <w:szCs w:val="46"/>
      <w:shd w:val="clear" w:color="auto" w:fill="FFFFFF"/>
    </w:rPr>
  </w:style>
  <w:style w:type="paragraph" w:customStyle="1" w:styleId="84">
    <w:name w:val="标题 #1"/>
    <w:basedOn w:val="1"/>
    <w:link w:val="83"/>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5">
    <w:name w:val="样式1"/>
    <w:basedOn w:val="74"/>
    <w:qFormat/>
    <w:uiPriority w:val="0"/>
    <w:pPr>
      <w:ind w:firstLine="0" w:firstLineChars="0"/>
      <w:jc w:val="left"/>
    </w:pPr>
    <w:rPr>
      <w:rFonts w:ascii="黑体" w:hAnsi="黑体" w:eastAsia="黑体"/>
      <w:b/>
      <w:bCs/>
      <w:sz w:val="32"/>
      <w:szCs w:val="32"/>
    </w:rPr>
  </w:style>
  <w:style w:type="paragraph" w:customStyle="1" w:styleId="86">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7">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8">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9">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90">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1">
    <w:name w:val="NormalCharacter"/>
    <w:qFormat/>
    <w:uiPriority w:val="0"/>
  </w:style>
  <w:style w:type="character" w:customStyle="1" w:styleId="92">
    <w:name w:val="批注主题 Char"/>
    <w:basedOn w:val="78"/>
    <w:link w:val="8"/>
    <w:qFormat/>
    <w:uiPriority w:val="99"/>
    <w:rPr>
      <w:b/>
      <w:bCs/>
    </w:rPr>
  </w:style>
  <w:style w:type="paragraph" w:customStyle="1" w:styleId="93">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4">
    <w:name w:val="正文文本缩进 Char"/>
    <w:basedOn w:val="23"/>
    <w:link w:val="11"/>
    <w:qFormat/>
    <w:uiPriority w:val="0"/>
  </w:style>
  <w:style w:type="paragraph" w:customStyle="1" w:styleId="95">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6">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7">
    <w:name w:val="font11"/>
    <w:basedOn w:val="23"/>
    <w:qFormat/>
    <w:uiPriority w:val="0"/>
    <w:rPr>
      <w:rFonts w:hint="eastAsia" w:ascii="宋体" w:hAnsi="宋体" w:eastAsia="宋体" w:cs="宋体"/>
      <w:color w:val="000000"/>
      <w:sz w:val="28"/>
      <w:szCs w:val="28"/>
      <w:u w:val="none"/>
    </w:rPr>
  </w:style>
  <w:style w:type="character" w:customStyle="1" w:styleId="98">
    <w:name w:val="font21"/>
    <w:basedOn w:val="23"/>
    <w:qFormat/>
    <w:uiPriority w:val="0"/>
    <w:rPr>
      <w:rFonts w:hint="eastAsia" w:ascii="宋体" w:hAnsi="宋体" w:eastAsia="宋体" w:cs="宋体"/>
      <w:color w:val="000000"/>
      <w:sz w:val="28"/>
      <w:szCs w:val="28"/>
      <w:u w:val="none"/>
      <w:vertAlign w:val="superscript"/>
    </w:rPr>
  </w:style>
  <w:style w:type="character" w:customStyle="1" w:styleId="99">
    <w:name w:val="font31"/>
    <w:basedOn w:val="23"/>
    <w:qFormat/>
    <w:uiPriority w:val="0"/>
    <w:rPr>
      <w:rFonts w:hint="eastAsia" w:ascii="宋体" w:hAnsi="宋体" w:eastAsia="宋体" w:cs="宋体"/>
      <w:color w:val="000000"/>
      <w:sz w:val="24"/>
      <w:szCs w:val="24"/>
      <w:u w:val="none"/>
      <w:vertAlign w:val="superscript"/>
    </w:rPr>
  </w:style>
  <w:style w:type="character" w:customStyle="1" w:styleId="100">
    <w:name w:val="font01"/>
    <w:basedOn w:val="23"/>
    <w:qFormat/>
    <w:uiPriority w:val="0"/>
    <w:rPr>
      <w:rFonts w:hint="eastAsia" w:ascii="宋体" w:hAnsi="宋体" w:eastAsia="宋体" w:cs="宋体"/>
      <w:color w:val="000000"/>
      <w:sz w:val="24"/>
      <w:szCs w:val="24"/>
      <w:u w:val="none"/>
      <w:vertAlign w:val="superscript"/>
    </w:rPr>
  </w:style>
  <w:style w:type="character" w:customStyle="1" w:styleId="101">
    <w:name w:val="font41"/>
    <w:basedOn w:val="23"/>
    <w:qFormat/>
    <w:uiPriority w:val="0"/>
    <w:rPr>
      <w:rFonts w:hint="eastAsia" w:ascii="宋体" w:hAnsi="宋体" w:eastAsia="宋体" w:cs="宋体"/>
      <w:color w:val="000000"/>
      <w:sz w:val="24"/>
      <w:szCs w:val="24"/>
      <w:u w:val="none"/>
      <w:vertAlign w:val="superscript"/>
    </w:rPr>
  </w:style>
  <w:style w:type="paragraph" w:customStyle="1" w:styleId="102">
    <w:name w:val="标书正文1"/>
    <w:basedOn w:val="1"/>
    <w:qFormat/>
    <w:uiPriority w:val="0"/>
    <w:pPr>
      <w:spacing w:line="520" w:lineRule="exact"/>
      <w:ind w:firstLine="640" w:firstLineChars="200"/>
    </w:pPr>
    <w:rPr>
      <w:rFonts w:ascii="Times New Roman" w:hAnsi="Times New Roman" w:eastAsia="宋体"/>
    </w:rPr>
  </w:style>
  <w:style w:type="character" w:customStyle="1" w:styleId="103">
    <w:name w:val="form-item-field"/>
    <w:basedOn w:val="23"/>
    <w:qFormat/>
    <w:uiPriority w:val="0"/>
    <w:rPr>
      <w:sz w:val="16"/>
      <w:szCs w:val="16"/>
    </w:rPr>
  </w:style>
  <w:style w:type="character" w:customStyle="1" w:styleId="104">
    <w:name w:val="sort-name-span"/>
    <w:basedOn w:val="23"/>
    <w:qFormat/>
    <w:uiPriority w:val="0"/>
  </w:style>
  <w:style w:type="character" w:customStyle="1" w:styleId="105">
    <w:name w:val="leaf"/>
    <w:basedOn w:val="23"/>
    <w:qFormat/>
    <w:uiPriority w:val="0"/>
  </w:style>
  <w:style w:type="character" w:customStyle="1" w:styleId="106">
    <w:name w:val="root"/>
    <w:basedOn w:val="23"/>
    <w:qFormat/>
    <w:uiPriority w:val="0"/>
  </w:style>
  <w:style w:type="character" w:customStyle="1" w:styleId="107">
    <w:name w:val="category-text"/>
    <w:basedOn w:val="23"/>
    <w:qFormat/>
    <w:uiPriority w:val="0"/>
    <w:rPr>
      <w:b/>
      <w:shd w:val="clear" w:fill="FFFFFF"/>
    </w:rPr>
  </w:style>
  <w:style w:type="character" w:customStyle="1" w:styleId="108">
    <w:name w:val="flow-name-span"/>
    <w:basedOn w:val="23"/>
    <w:qFormat/>
    <w:uiPriority w:val="0"/>
  </w:style>
  <w:style w:type="character" w:customStyle="1" w:styleId="109">
    <w:name w:val="form-textarea-print1"/>
    <w:basedOn w:val="23"/>
    <w:qFormat/>
    <w:uiPriority w:val="0"/>
    <w:rPr>
      <w:rFonts w:ascii="微软雅黑" w:hAnsi="微软雅黑" w:eastAsia="微软雅黑" w:cs="微软雅黑"/>
      <w:sz w:val="14"/>
      <w:szCs w:val="14"/>
    </w:rPr>
  </w:style>
  <w:style w:type="character" w:customStyle="1" w:styleId="110">
    <w:name w:val="font71"/>
    <w:basedOn w:val="23"/>
    <w:qFormat/>
    <w:uiPriority w:val="0"/>
    <w:rPr>
      <w:rFonts w:hint="eastAsia" w:ascii="仿宋" w:hAnsi="仿宋" w:eastAsia="仿宋" w:cs="仿宋"/>
      <w:b/>
      <w:bCs/>
      <w:color w:val="000000"/>
      <w:sz w:val="22"/>
      <w:szCs w:val="22"/>
      <w:u w:val="none"/>
    </w:rPr>
  </w:style>
  <w:style w:type="character" w:customStyle="1" w:styleId="111">
    <w:name w:val="font91"/>
    <w:basedOn w:val="23"/>
    <w:qFormat/>
    <w:uiPriority w:val="0"/>
    <w:rPr>
      <w:rFonts w:hint="eastAsia" w:ascii="仿宋" w:hAnsi="仿宋" w:eastAsia="仿宋" w:cs="仿宋"/>
      <w:color w:val="000000"/>
      <w:sz w:val="24"/>
      <w:szCs w:val="24"/>
      <w:u w:val="none"/>
    </w:rPr>
  </w:style>
  <w:style w:type="character" w:customStyle="1" w:styleId="112">
    <w:name w:val="font112"/>
    <w:basedOn w:val="23"/>
    <w:qFormat/>
    <w:uiPriority w:val="0"/>
    <w:rPr>
      <w:rFonts w:ascii="Arial" w:hAnsi="Arial" w:cs="Arial"/>
      <w:color w:val="000000"/>
      <w:sz w:val="24"/>
      <w:szCs w:val="24"/>
      <w:u w:val="none"/>
    </w:rPr>
  </w:style>
  <w:style w:type="character" w:customStyle="1" w:styleId="113">
    <w:name w:val="font81"/>
    <w:basedOn w:val="23"/>
    <w:qFormat/>
    <w:uiPriority w:val="0"/>
    <w:rPr>
      <w:rFonts w:hint="eastAsia" w:ascii="仿宋" w:hAnsi="仿宋" w:eastAsia="仿宋" w:cs="仿宋"/>
      <w:color w:val="000000"/>
      <w:sz w:val="24"/>
      <w:szCs w:val="24"/>
      <w:u w:val="none"/>
    </w:rPr>
  </w:style>
  <w:style w:type="character" w:customStyle="1" w:styleId="114">
    <w:name w:val="font121"/>
    <w:basedOn w:val="23"/>
    <w:qFormat/>
    <w:uiPriority w:val="0"/>
    <w:rPr>
      <w:rFonts w:hint="default" w:ascii="Arial" w:hAnsi="Arial" w:cs="Arial"/>
      <w:color w:val="000000"/>
      <w:sz w:val="24"/>
      <w:szCs w:val="24"/>
      <w:u w:val="none"/>
    </w:rPr>
  </w:style>
  <w:style w:type="character" w:customStyle="1" w:styleId="115">
    <w:name w:val="font101"/>
    <w:basedOn w:val="23"/>
    <w:qFormat/>
    <w:uiPriority w:val="0"/>
    <w:rPr>
      <w:rFonts w:hint="eastAsia" w:ascii="仿宋" w:hAnsi="仿宋" w:eastAsia="仿宋" w:cs="仿宋"/>
      <w:color w:val="000000"/>
      <w:sz w:val="24"/>
      <w:szCs w:val="24"/>
      <w:u w:val="none"/>
      <w:vertAlign w:val="superscript"/>
    </w:rPr>
  </w:style>
  <w:style w:type="paragraph" w:customStyle="1" w:styleId="116">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3</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2026-04-03T06:54:40Z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