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Style w:val="23"/>
          <w:rFonts w:ascii="宋体" w:hAnsi="宋体" w:eastAsia="宋体"/>
          <w:b w:val="0"/>
          <w:sz w:val="28"/>
          <w:szCs w:val="28"/>
        </w:rPr>
      </w:pPr>
      <w:r>
        <w:rPr>
          <w:rStyle w:val="23"/>
          <w:rFonts w:hint="eastAsia" w:ascii="宋体" w:hAnsi="宋体" w:eastAsia="宋体"/>
          <w:b w:val="0"/>
          <w:sz w:val="28"/>
          <w:szCs w:val="28"/>
        </w:rPr>
        <w:t>附件</w:t>
      </w:r>
      <w:r>
        <w:rPr>
          <w:rStyle w:val="23"/>
          <w:rFonts w:hint="eastAsia" w:ascii="宋体" w:hAnsi="宋体" w:eastAsia="宋体"/>
          <w:b w:val="0"/>
          <w:sz w:val="28"/>
          <w:szCs w:val="28"/>
          <w:lang w:val="en-US" w:eastAsia="zh-CN"/>
        </w:rPr>
        <w:t>1-报价表</w:t>
      </w:r>
      <w:r>
        <w:rPr>
          <w:rStyle w:val="23"/>
          <w:rFonts w:hint="eastAsia" w:ascii="宋体" w:hAnsi="宋体" w:eastAsia="宋体"/>
          <w:b w:val="0"/>
          <w:sz w:val="28"/>
          <w:szCs w:val="28"/>
        </w:rPr>
        <w:t xml:space="preserve">：      </w:t>
      </w:r>
    </w:p>
    <w:p>
      <w:pPr>
        <w:jc w:val="center"/>
        <w:rPr>
          <w:rFonts w:hint="default" w:asciiTheme="majorEastAsia" w:hAnsiTheme="majorEastAsia" w:eastAsiaTheme="majorEastAsia" w:cstheme="majorEastAsia"/>
          <w:b/>
          <w:bCs/>
          <w:color w:val="333333"/>
          <w:sz w:val="32"/>
          <w:szCs w:val="32"/>
          <w:lang w:val="en-US" w:eastAsia="zh-CN"/>
        </w:rPr>
      </w:pPr>
      <w:r>
        <w:rPr>
          <w:rFonts w:hint="eastAsia" w:asciiTheme="majorEastAsia" w:hAnsiTheme="majorEastAsia" w:eastAsiaTheme="majorEastAsia" w:cstheme="majorEastAsia"/>
          <w:b/>
          <w:bCs/>
          <w:color w:val="333333"/>
          <w:sz w:val="32"/>
          <w:szCs w:val="32"/>
          <w:lang w:val="en-US" w:eastAsia="zh-CN"/>
        </w:rPr>
        <w:t>采购项目</w:t>
      </w:r>
      <w:r>
        <w:rPr>
          <w:rFonts w:hint="default" w:asciiTheme="majorEastAsia" w:hAnsiTheme="majorEastAsia" w:eastAsiaTheme="majorEastAsia" w:cstheme="majorEastAsia"/>
          <w:b/>
          <w:bCs/>
          <w:color w:val="333333"/>
          <w:sz w:val="32"/>
          <w:szCs w:val="32"/>
          <w:lang w:val="en-US" w:eastAsia="zh-CN"/>
        </w:rPr>
        <w:t>“2026-2027学年现代农业学院（乡村振兴学院）日常教学</w:t>
      </w:r>
    </w:p>
    <w:p>
      <w:pPr>
        <w:jc w:val="center"/>
        <w:rPr>
          <w:rFonts w:hint="eastAsia" w:asciiTheme="majorEastAsia" w:hAnsiTheme="majorEastAsia" w:eastAsiaTheme="majorEastAsia" w:cstheme="majorEastAsia"/>
          <w:b/>
          <w:bCs/>
          <w:sz w:val="32"/>
          <w:szCs w:val="32"/>
        </w:rPr>
      </w:pPr>
      <w:r>
        <w:rPr>
          <w:rFonts w:hint="default" w:asciiTheme="majorEastAsia" w:hAnsiTheme="majorEastAsia" w:eastAsiaTheme="majorEastAsia" w:cstheme="majorEastAsia"/>
          <w:b/>
          <w:bCs/>
          <w:color w:val="333333"/>
          <w:sz w:val="32"/>
          <w:szCs w:val="32"/>
          <w:lang w:val="en-US" w:eastAsia="zh-CN"/>
        </w:rPr>
        <w:t>实验耗材”</w:t>
      </w:r>
      <w:r>
        <w:rPr>
          <w:rFonts w:hint="eastAsia" w:asciiTheme="majorEastAsia" w:hAnsiTheme="majorEastAsia" w:eastAsiaTheme="majorEastAsia" w:cstheme="majorEastAsia"/>
          <w:b/>
          <w:bCs/>
          <w:color w:val="333333"/>
          <w:sz w:val="32"/>
          <w:szCs w:val="32"/>
        </w:rPr>
        <w:t>报</w:t>
      </w:r>
      <w:r>
        <w:rPr>
          <w:rFonts w:hint="eastAsia" w:asciiTheme="majorEastAsia" w:hAnsiTheme="majorEastAsia" w:eastAsiaTheme="majorEastAsia" w:cstheme="majorEastAsia"/>
          <w:b/>
          <w:bCs/>
          <w:sz w:val="32"/>
          <w:szCs w:val="32"/>
        </w:rPr>
        <w:t>价表</w:t>
      </w:r>
    </w:p>
    <w:p>
      <w:pPr>
        <w:jc w:val="center"/>
        <w:rPr>
          <w:rFonts w:hint="eastAsia" w:ascii="楷体" w:hAnsi="楷体" w:eastAsia="楷体" w:cs="仿宋_GB2312"/>
          <w:sz w:val="24"/>
          <w:szCs w:val="24"/>
        </w:rPr>
      </w:pPr>
      <w:r>
        <w:rPr>
          <w:rFonts w:hint="eastAsia" w:ascii="楷体" w:hAnsi="楷体" w:eastAsia="楷体" w:cs="仿宋_GB2312"/>
          <w:sz w:val="24"/>
          <w:szCs w:val="24"/>
        </w:rPr>
        <w:t>（有效报价时间：自发出之日起至202</w:t>
      </w:r>
      <w:r>
        <w:rPr>
          <w:rFonts w:hint="eastAsia" w:ascii="楷体" w:hAnsi="楷体" w:eastAsia="楷体" w:cs="仿宋_GB2312"/>
          <w:sz w:val="24"/>
          <w:szCs w:val="24"/>
          <w:lang w:val="en-US" w:eastAsia="zh-CN"/>
        </w:rPr>
        <w:t>6</w:t>
      </w:r>
      <w:r>
        <w:rPr>
          <w:rFonts w:hint="eastAsia" w:ascii="楷体" w:hAnsi="楷体" w:eastAsia="楷体" w:cs="仿宋_GB2312"/>
          <w:sz w:val="24"/>
          <w:szCs w:val="24"/>
        </w:rPr>
        <w:t>年</w:t>
      </w:r>
      <w:r>
        <w:rPr>
          <w:rFonts w:hint="eastAsia" w:ascii="楷体" w:hAnsi="楷体" w:eastAsia="楷体" w:cs="仿宋_GB2312"/>
          <w:sz w:val="24"/>
          <w:szCs w:val="24"/>
          <w:lang w:val="en-US" w:eastAsia="zh-CN"/>
        </w:rPr>
        <w:t>10</w:t>
      </w:r>
      <w:r>
        <w:rPr>
          <w:rFonts w:hint="eastAsia" w:ascii="楷体" w:hAnsi="楷体" w:eastAsia="楷体" w:cs="仿宋_GB2312"/>
          <w:sz w:val="24"/>
          <w:szCs w:val="24"/>
        </w:rPr>
        <w:t>月</w:t>
      </w:r>
      <w:r>
        <w:rPr>
          <w:rFonts w:hint="eastAsia" w:ascii="楷体" w:hAnsi="楷体" w:eastAsia="楷体" w:cs="仿宋_GB2312"/>
          <w:sz w:val="24"/>
          <w:szCs w:val="24"/>
          <w:lang w:val="en-US" w:eastAsia="zh-CN"/>
        </w:rPr>
        <w:t>19</w:t>
      </w:r>
      <w:r>
        <w:rPr>
          <w:rFonts w:hint="eastAsia" w:ascii="楷体" w:hAnsi="楷体" w:eastAsia="楷体" w:cs="仿宋_GB2312"/>
          <w:sz w:val="24"/>
          <w:szCs w:val="24"/>
        </w:rPr>
        <w:t>日</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时止）</w:t>
      </w:r>
    </w:p>
    <w:tbl>
      <w:tblPr>
        <w:tblStyle w:val="35"/>
        <w:tblpPr w:leftFromText="180" w:rightFromText="180" w:vertAnchor="text" w:horzAnchor="page" w:tblpX="1081" w:tblpY="210"/>
        <w:tblOverlap w:val="never"/>
        <w:tblW w:w="981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69"/>
        <w:gridCol w:w="1512"/>
        <w:gridCol w:w="858"/>
        <w:gridCol w:w="828"/>
        <w:gridCol w:w="1596"/>
        <w:gridCol w:w="424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60" w:hRule="atLeast"/>
        </w:trPr>
        <w:tc>
          <w:tcPr>
            <w:tcW w:w="769"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序号</w:t>
            </w:r>
          </w:p>
        </w:tc>
        <w:tc>
          <w:tcPr>
            <w:tcW w:w="1512"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名称</w:t>
            </w:r>
          </w:p>
        </w:tc>
        <w:tc>
          <w:tcPr>
            <w:tcW w:w="85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单位</w:t>
            </w:r>
          </w:p>
        </w:tc>
        <w:tc>
          <w:tcPr>
            <w:tcW w:w="82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数量</w:t>
            </w:r>
          </w:p>
        </w:tc>
        <w:tc>
          <w:tcPr>
            <w:tcW w:w="1596" w:type="dxa"/>
            <w:vAlign w:val="center"/>
          </w:tcPr>
          <w:p>
            <w:pPr>
              <w:adjustRightInd w:val="0"/>
              <w:snapToGrid w:val="0"/>
              <w:jc w:val="center"/>
              <w:rPr>
                <w:rFonts w:hint="eastAsia" w:ascii="仿宋" w:hAnsi="仿宋" w:eastAsia="仿宋"/>
                <w:b/>
                <w:kern w:val="0"/>
                <w:sz w:val="24"/>
                <w:szCs w:val="24"/>
                <w:lang w:eastAsia="zh-CN"/>
              </w:rPr>
            </w:pPr>
            <w:r>
              <w:rPr>
                <w:rFonts w:hint="eastAsia" w:ascii="仿宋" w:hAnsi="仿宋" w:eastAsia="仿宋"/>
                <w:b/>
                <w:kern w:val="0"/>
                <w:sz w:val="24"/>
                <w:szCs w:val="24"/>
              </w:rPr>
              <w:t>主要技术参数</w:t>
            </w:r>
            <w:r>
              <w:rPr>
                <w:rFonts w:hint="eastAsia" w:ascii="仿宋" w:hAnsi="仿宋" w:eastAsia="仿宋"/>
                <w:b/>
                <w:kern w:val="0"/>
                <w:sz w:val="24"/>
                <w:szCs w:val="24"/>
                <w:lang w:eastAsia="zh-CN"/>
              </w:rPr>
              <w:t>及要求</w:t>
            </w:r>
          </w:p>
        </w:tc>
        <w:tc>
          <w:tcPr>
            <w:tcW w:w="4248" w:type="dxa"/>
            <w:vAlign w:val="center"/>
          </w:tcPr>
          <w:p>
            <w:pPr>
              <w:adjustRightInd w:val="0"/>
              <w:snapToGrid w:val="0"/>
              <w:jc w:val="center"/>
              <w:rPr>
                <w:rFonts w:hint="eastAsia" w:ascii="仿宋" w:hAnsi="仿宋" w:eastAsia="仿宋" w:cs="仿宋"/>
                <w:b/>
                <w:kern w:val="0"/>
                <w:sz w:val="24"/>
                <w:szCs w:val="24"/>
                <w:lang w:val="en-US" w:eastAsia="zh-CN"/>
              </w:rPr>
            </w:pPr>
            <w:r>
              <w:rPr>
                <w:rFonts w:hint="eastAsia" w:ascii="仿宋" w:hAnsi="仿宋" w:eastAsia="仿宋" w:cs="仿宋"/>
                <w:b/>
                <w:kern w:val="0"/>
                <w:sz w:val="24"/>
                <w:szCs w:val="24"/>
                <w:lang w:val="en-US" w:eastAsia="zh-CN"/>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736" w:hRule="exact"/>
        </w:trPr>
        <w:tc>
          <w:tcPr>
            <w:tcW w:w="769"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12"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2026-2027学年现代农业学院（乡村振兴学院）日常教学实验耗材</w:t>
            </w:r>
          </w:p>
        </w:tc>
        <w:tc>
          <w:tcPr>
            <w:tcW w:w="858"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项</w:t>
            </w:r>
          </w:p>
        </w:tc>
        <w:tc>
          <w:tcPr>
            <w:tcW w:w="828"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96"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见附件</w:t>
            </w:r>
          </w:p>
        </w:tc>
        <w:tc>
          <w:tcPr>
            <w:tcW w:w="4248"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如供应商为本项目提供的所有产品中有属于《强制性产品认证目录》范围内产品的，均应通过国家强制性产品认证并取得认证证书或经过强制性认证产品符合性自我声明。（</w:t>
            </w:r>
            <w:r>
              <w:rPr>
                <w:rFonts w:hint="eastAsia" w:asciiTheme="minorEastAsia" w:hAnsiTheme="minorEastAsia" w:cstheme="minorEastAsia"/>
                <w:sz w:val="21"/>
                <w:szCs w:val="21"/>
                <w:lang w:eastAsia="zh-CN"/>
              </w:rPr>
              <w:t>签订合同</w:t>
            </w:r>
            <w:r>
              <w:rPr>
                <w:rFonts w:hint="eastAsia" w:asciiTheme="minorEastAsia" w:hAnsiTheme="minorEastAsia" w:eastAsiaTheme="minorEastAsia" w:cstheme="minorEastAsia"/>
                <w:sz w:val="21"/>
                <w:szCs w:val="21"/>
              </w:rPr>
              <w:t>时须提供产品对应的有效的“CCC”认证证书或经过强制性认证产品符合性自我声明扫描件并加盖供应商公章）。供应商为本项目提供的所有产品应符合现行的强制性国家相关标准、行业标准。</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p>
          <w:p>
            <w:pPr>
              <w:jc w:val="left"/>
              <w:rPr>
                <w:rFonts w:hint="default" w:ascii="宋体" w:hAnsi="宋体" w:eastAsia="宋体" w:cs="宋体"/>
                <w:kern w:val="0"/>
                <w:sz w:val="21"/>
                <w:szCs w:val="21"/>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83" w:hRule="atLeast"/>
        </w:trPr>
        <w:tc>
          <w:tcPr>
            <w:tcW w:w="2281" w:type="dxa"/>
            <w:gridSpan w:val="2"/>
            <w:vAlign w:val="center"/>
          </w:tcPr>
          <w:p>
            <w:pPr>
              <w:widowControl/>
              <w:jc w:val="center"/>
              <w:rPr>
                <w:rFonts w:hint="eastAsia" w:ascii="仿宋" w:hAnsi="仿宋" w:eastAsia="仿宋" w:cstheme="minorEastAsia"/>
                <w:kern w:val="0"/>
                <w:sz w:val="24"/>
                <w:szCs w:val="24"/>
                <w:lang w:val="en-US" w:eastAsia="zh-CN"/>
              </w:rPr>
            </w:pPr>
            <w:r>
              <w:rPr>
                <w:rFonts w:hint="eastAsia" w:ascii="仿宋" w:hAnsi="仿宋" w:eastAsia="仿宋" w:cstheme="minorEastAsia"/>
                <w:kern w:val="0"/>
                <w:sz w:val="24"/>
                <w:szCs w:val="24"/>
                <w:lang w:val="en-US" w:eastAsia="zh-CN"/>
              </w:rPr>
              <w:t>合 计</w:t>
            </w:r>
            <w:r>
              <w:rPr>
                <w:rFonts w:hint="eastAsia" w:ascii="仿宋" w:hAnsi="仿宋" w:eastAsia="仿宋" w:cs="仿宋"/>
                <w:sz w:val="24"/>
              </w:rPr>
              <w:t>（元）</w:t>
            </w:r>
          </w:p>
        </w:tc>
        <w:tc>
          <w:tcPr>
            <w:tcW w:w="7530" w:type="dxa"/>
            <w:gridSpan w:val="4"/>
            <w:vAlign w:val="center"/>
          </w:tcPr>
          <w:p>
            <w:pPr>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eastAsia="zh-CN"/>
              </w:rPr>
              <w:t>小写：</w:t>
            </w:r>
            <w:r>
              <w:rPr>
                <w:rFonts w:hint="eastAsia" w:ascii="仿宋" w:hAnsi="仿宋" w:eastAsia="仿宋" w:cs="仿宋"/>
                <w:kern w:val="0"/>
                <w:sz w:val="24"/>
                <w:szCs w:val="24"/>
                <w:lang w:val="en-US" w:eastAsia="zh-CN"/>
              </w:rPr>
              <w:t xml:space="preserve">              元、 大写：                      元整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6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附加条件</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（如有请明确表述）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4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交货日期</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自签订合同且采购人下达供货任务书之日起XX天内交货到采购人指定地点并验收合格投入使用。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3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报价商家名称</w:t>
            </w:r>
          </w:p>
          <w:p>
            <w:pPr>
              <w:jc w:val="center"/>
              <w:rPr>
                <w:rFonts w:ascii="仿宋" w:hAnsi="仿宋" w:eastAsia="仿宋" w:cs="仿宋"/>
                <w:kern w:val="0"/>
                <w:sz w:val="24"/>
                <w:szCs w:val="24"/>
              </w:rPr>
            </w:pPr>
            <w:r>
              <w:rPr>
                <w:rFonts w:hint="eastAsia" w:ascii="仿宋" w:hAnsi="仿宋" w:eastAsia="仿宋" w:cs="仿宋"/>
                <w:kern w:val="0"/>
                <w:sz w:val="24"/>
                <w:szCs w:val="24"/>
              </w:rPr>
              <w:t>（盖章）</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（盖章方为有效，否则报价无效。）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联系人及电话</w:t>
            </w:r>
          </w:p>
        </w:tc>
        <w:tc>
          <w:tcPr>
            <w:tcW w:w="7530" w:type="dxa"/>
            <w:gridSpan w:val="4"/>
            <w:vAlign w:val="center"/>
          </w:tcPr>
          <w:p>
            <w:pPr>
              <w:jc w:val="center"/>
              <w:rPr>
                <w:rFonts w:ascii="仿宋" w:hAnsi="仿宋" w:eastAsia="仿宋" w:cs="仿宋"/>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91"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报价时间</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年     月     日</w:t>
            </w:r>
          </w:p>
        </w:tc>
      </w:tr>
    </w:tbl>
    <w:p>
      <w:pPr>
        <w:jc w:val="center"/>
        <w:rPr>
          <w:rFonts w:hint="eastAsia" w:ascii="楷体" w:hAnsi="楷体" w:eastAsia="楷体"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　备注:1、报价为包干价，含税费、运输费、安装费、人工费等一切费用。</w:t>
      </w:r>
    </w:p>
    <w:p>
      <w:pPr>
        <w:widowControl w:val="0"/>
        <w:numPr>
          <w:ilvl w:val="0"/>
          <w:numId w:val="1"/>
        </w:numPr>
        <w:spacing w:after="120"/>
        <w:ind w:firstLine="723" w:firstLineChars="400"/>
        <w:jc w:val="both"/>
        <w:rPr>
          <w:rFonts w:hint="eastAsia" w:ascii="宋体" w:hAnsi="宋体" w:eastAsia="宋体" w:cs="宋体"/>
          <w:b/>
          <w:bCs/>
          <w:kern w:val="2"/>
          <w:sz w:val="18"/>
          <w:szCs w:val="18"/>
          <w:lang w:val="en-US" w:eastAsia="zh-CN" w:bidi="ar-SA"/>
        </w:rPr>
      </w:pPr>
      <w:r>
        <w:rPr>
          <w:rFonts w:hint="eastAsia" w:ascii="宋体" w:hAnsi="宋体" w:eastAsia="宋体" w:cs="宋体"/>
          <w:b/>
          <w:bCs/>
          <w:kern w:val="2"/>
          <w:sz w:val="18"/>
          <w:szCs w:val="18"/>
          <w:lang w:val="en-US" w:eastAsia="zh-CN" w:bidi="ar-SA"/>
        </w:rPr>
        <w:t>此报价必须单价、总价都要报，否则为无效报价。</w:t>
      </w:r>
    </w:p>
    <w:p>
      <w:pPr>
        <w:numPr>
          <w:ilvl w:val="0"/>
          <w:numId w:val="0"/>
        </w:numPr>
        <w:rPr>
          <w:rFonts w:hint="default"/>
          <w:lang w:val="en-US" w:eastAsia="zh-CN"/>
        </w:rPr>
      </w:pPr>
      <w:r>
        <w:rPr>
          <w:rFonts w:hint="eastAsia" w:asciiTheme="minorHAnsi" w:eastAsiaTheme="minorEastAsia"/>
          <w:lang w:val="en-US" w:eastAsia="zh-CN"/>
        </w:rPr>
        <w:t xml:space="preserve">       3、</w:t>
      </w:r>
      <w:r>
        <w:rPr>
          <w:rFonts w:hint="eastAsia" w:ascii="宋体" w:hAnsi="宋体" w:eastAsia="宋体" w:cs="宋体"/>
          <w:b/>
          <w:bCs/>
          <w:sz w:val="18"/>
          <w:szCs w:val="18"/>
          <w:lang w:val="en-US" w:eastAsia="zh-CN"/>
        </w:rPr>
        <w:t>供应商的报价商品有品牌的，需在品牌一栏填写其报价商品品牌。</w:t>
      </w:r>
    </w:p>
    <w:p>
      <w:pPr>
        <w:rPr>
          <w:rFonts w:hint="default"/>
          <w:lang w:val="en-US" w:eastAsia="zh-CN"/>
        </w:rPr>
      </w:pPr>
      <w:r>
        <w:rPr>
          <w:rFonts w:hint="eastAsia" w:ascii="宋体" w:hAnsi="宋体" w:eastAsia="宋体" w:cs="宋体"/>
          <w:b/>
          <w:bCs/>
          <w:sz w:val="18"/>
          <w:szCs w:val="18"/>
          <w:lang w:val="en-US" w:eastAsia="zh-CN"/>
        </w:rPr>
        <w:t>　</w:t>
      </w:r>
    </w:p>
    <w:p>
      <w:pPr>
        <w:rPr>
          <w:rFonts w:hint="eastAsia" w:eastAsia="宋体"/>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lang w:val="en-US" w:eastAsia="zh-CN"/>
        </w:rPr>
      </w:pPr>
      <w:r>
        <w:rPr>
          <w:rFonts w:hint="eastAsia"/>
          <w:lang w:val="en-US" w:eastAsia="zh-CN"/>
        </w:rPr>
        <w:t>　　</w:t>
      </w:r>
    </w:p>
    <w:tbl>
      <w:tblPr>
        <w:tblW w:w="10692" w:type="dxa"/>
        <w:tblInd w:w="-449" w:type="dxa"/>
        <w:shd w:val="clear"/>
        <w:tblLayout w:type="fixed"/>
        <w:tblCellMar>
          <w:top w:w="0" w:type="dxa"/>
          <w:left w:w="0" w:type="dxa"/>
          <w:bottom w:w="0" w:type="dxa"/>
          <w:right w:w="0" w:type="dxa"/>
        </w:tblCellMar>
      </w:tblPr>
      <w:tblGrid>
        <w:gridCol w:w="720"/>
        <w:gridCol w:w="2184"/>
        <w:gridCol w:w="3984"/>
        <w:gridCol w:w="948"/>
        <w:gridCol w:w="744"/>
        <w:gridCol w:w="648"/>
        <w:gridCol w:w="708"/>
        <w:gridCol w:w="756"/>
      </w:tblGrid>
      <w:tr>
        <w:tblPrEx>
          <w:shd w:val="clear"/>
          <w:tblLayout w:type="fixed"/>
          <w:tblCellMar>
            <w:top w:w="0" w:type="dxa"/>
            <w:left w:w="0" w:type="dxa"/>
            <w:bottom w:w="0" w:type="dxa"/>
            <w:right w:w="0" w:type="dxa"/>
          </w:tblCellMar>
        </w:tblPrEx>
        <w:trPr>
          <w:trHeight w:val="900" w:hRule="atLeast"/>
        </w:trPr>
        <w:tc>
          <w:tcPr>
            <w:tcW w:w="10692" w:type="dxa"/>
            <w:gridSpan w:val="8"/>
            <w:tcBorders>
              <w:top w:val="nil"/>
              <w:left w:val="single" w:color="000000" w:sz="4" w:space="0"/>
              <w:bottom w:val="single" w:color="000000" w:sz="4" w:space="0"/>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eastAsia" w:ascii="宋体" w:hAnsi="宋体" w:eastAsia="宋体" w:cs="宋体"/>
                <w:i w:val="0"/>
                <w:color w:val="000000"/>
                <w:sz w:val="44"/>
                <w:szCs w:val="44"/>
                <w:u w:val="none"/>
              </w:rPr>
            </w:pPr>
            <w:r>
              <w:rPr>
                <w:rFonts w:hint="eastAsia" w:ascii="宋体" w:hAnsi="宋体" w:eastAsia="宋体" w:cs="宋体"/>
                <w:b/>
                <w:bCs/>
                <w:i w:val="0"/>
                <w:color w:val="000000"/>
                <w:kern w:val="0"/>
                <w:sz w:val="44"/>
                <w:szCs w:val="44"/>
                <w:u w:val="none"/>
                <w:bdr w:val="none" w:color="auto" w:sz="0" w:space="0"/>
                <w:lang w:val="en-US" w:eastAsia="zh-CN" w:bidi="ar"/>
              </w:rPr>
              <w:t>2026-2027学年现代农业学院（乡村振兴学院）实验耗材采购明细表</w:t>
            </w:r>
            <w:bookmarkStart w:id="0" w:name="_GoBack"/>
            <w:bookmarkEnd w:id="0"/>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序号</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品名</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规格参数</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单位</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数量</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单价</w:t>
            </w: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总价</w:t>
            </w:r>
          </w:p>
        </w:tc>
        <w:tc>
          <w:tcPr>
            <w:tcW w:w="756"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lang w:val="en-US" w:eastAsia="zh-CN"/>
              </w:rPr>
            </w:pPr>
            <w:r>
              <w:rPr>
                <w:rFonts w:hint="eastAsia" w:ascii="宋体" w:hAnsi="宋体" w:eastAsia="宋体" w:cs="宋体"/>
                <w:b/>
                <w:i w:val="0"/>
                <w:color w:val="000000"/>
                <w:sz w:val="22"/>
                <w:szCs w:val="22"/>
                <w:u w:val="none"/>
                <w:lang w:val="en-US" w:eastAsia="zh-CN"/>
              </w:rPr>
              <w:t>品牌</w:t>
            </w: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氰化物测定试剂盒</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（0.005—0.5mg/L）50次/盒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氟化物测定试剂盒</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（0—1.5mg/L）50次/盒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土壤有害物质检测（铅+汞+镉+铬+砷）</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2次/包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大肠杆菌检测试剂盒（试纸）</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5条/盒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牛奶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灭菌常温奶（250ml*24）</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箱</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盐酸特伦特罗检测盒</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（胶体金（组织样0.5ng/g，20次/盒)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三聚氰胺检测卡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50条/盒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磺胺检测卡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20条/盒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黄曲霉毒素B1检测卡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10片/盒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pH广泛试纸（1-14）</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每本pH试纸，内含80张条状试纸,试纸配酸碱度专用比色卡</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水质硬度试纸</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瓶装，每瓶含100条，范围0-425ppm，附硬度专用比色卡</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52"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COD水质快速检测包</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检测量程0-500mg/L,每盒可测50次，检测包内含比色卡、粉末试剂、保存袋、比色架、实验滴管、实验手套、说明书</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医用乳胶手套</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普通</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双</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解剖刀片</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23#,10片/包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碘伏</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生理盐水</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消毒酒精</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新洁尔灭</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医用过氧化氢溶液</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二甲基硅油</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手术刀片</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医用创口贴</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100张/盒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一次性医用口罩</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10只/包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一次性注射器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5ml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外科手术手套</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100只/盒(中号）</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医用消毒棉签</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50支/包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体温计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兽用，通用</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听诊器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通用</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山羊胃导管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通用</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乳胶手套</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医用，通用，100双/盒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兽医用剃毛器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通用</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生理盐水</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500ML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碘伏</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200ML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75%酒精</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500ML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革兰氏染液</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医用，通用</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牛肉膏</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医用，通用</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蛋白胨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医用，通用</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氯化钠</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试验级</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载破片</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通用</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抗菌药敏制片</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10种50片</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无水乙醇</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500ML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玻璃培养皿</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75mm直径</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酪蛋白（标准品）</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5g</w:t>
            </w:r>
          </w:p>
        </w:tc>
        <w:tc>
          <w:tcPr>
            <w:tcW w:w="948" w:type="dxa"/>
            <w:tcBorders>
              <w:top w:val="nil"/>
              <w:left w:val="single" w:color="000000" w:sz="4" w:space="0"/>
              <w:bottom w:val="nil"/>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葡萄糖（标准品）</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250g</w:t>
            </w:r>
          </w:p>
        </w:tc>
        <w:tc>
          <w:tcPr>
            <w:tcW w:w="948" w:type="dxa"/>
            <w:tcBorders>
              <w:top w:val="nil"/>
              <w:left w:val="single" w:color="000000" w:sz="4" w:space="0"/>
              <w:bottom w:val="nil"/>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一次性医用注射器1mL</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塑料针筒，无针头，无菌独立包装，适用于模拟免疫接种，仅实训演示</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一次性医用注射器5mL</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塑料针筒，无针头，无菌独立包装，用于模拟疫苗吸取操作</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一次性橡胶检查手套</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天然乳胶，加厚防滑无粉，中号，贴合手部，实训操作防护</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盒(100只/盒)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医用碘伏消毒液</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有效碘0.5%，100mL塑料瓶装，皮肤、创面基础消毒，非管制药剂</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75%医用酒精消毒液</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乙醇体积分数75%±5%，医用级，无杂质，500mL密封塑料瓶装。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脱脂医用棉签</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双头竹棒，棉头饱满，100支/包，蘸取消毒液擦拭创面、器械</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医用弹性绷带</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宽5cm，透气自粘无纺布，独立卷装，用于模拟外伤包扎</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无菌纱布块</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5cm×5cm，8层脱脂棉，独立灭菌包装，创面覆盖、止血模拟</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包(10片/包)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84含氯消毒液</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有效氯5%，1L桶装，场地、器械广谱消毒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37%甲醛溶液（福尔马林）</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甲醛质量分数36%-38%，分析纯，500mL密封塑料瓶装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过硫酸氢钾复合盐消毒粉</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500g袋装，水溶性粉末，畜禽圈舍、器具温和消毒，刺激性低</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季铵盐消毒液（苯扎氯铵）</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500mL瓶装，无腐蚀、低刺激，用于器械、台面长效消毒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bdr w:val="none" w:color="auto" w:sz="0" w:space="0"/>
                <w:lang w:val="en-US" w:eastAsia="zh-CN" w:bidi="ar"/>
              </w:rPr>
              <w:t>57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bdr w:val="none" w:color="auto" w:sz="0" w:space="0"/>
                <w:lang w:val="en-US" w:eastAsia="zh-CN" w:bidi="ar"/>
              </w:rPr>
              <w:t>一次性隔离防护服</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bdr w:val="none" w:color="auto" w:sz="0" w:space="0"/>
                <w:lang w:val="en-US" w:eastAsia="zh-CN" w:bidi="ar"/>
              </w:rPr>
              <w:t>无纺布连体带帽，透气防水均码，生物安全防护</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bdr w:val="none" w:color="auto" w:sz="0" w:space="0"/>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bdr w:val="none" w:color="auto" w:sz="0" w:space="0"/>
                <w:lang w:val="en-US" w:eastAsia="zh-CN" w:bidi="ar"/>
              </w:rPr>
              <w:t>12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FF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FF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新城疫快速检测胶体金试纸</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常规教学演示用试纸，无生物危害，配套操作手册</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盒(20条/盒)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营养琼脂平板</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9cm无菌预浇营养琼脂平板，密封包装，用于细菌培养</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盒(10个/盒)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无菌密封培养盒</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方形透明密封培养盒，用于平板恒温培养，带透气孔</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注射器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2.5ml注射器（100支/盒）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生理盐水</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0.9%氯化钠注射液（500ml/瓶）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碘单质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碘化钾</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无水乙醇</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棕色广口玻璃瓶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棕色广口试剂瓶规格大小125ml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灭菌脱脂棉卷</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500g/卷</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枸橼酸钠</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1.5ml离心管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500支/包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96孔双面板</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适用于0.5/1.5/2ml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硫酸阿托品注射液</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规格：5ml：25mg</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5支/盒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硝酸毛果芸香碱滴眼液</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5ml：50mg*1瓶/盒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注射器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1ml注射器（100支/盒）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皮卷皮尺</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10米，包胶盘式纤维尺，尺带防水防锈</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游标卡尺</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工业级，不锈钢尺身，0-200mm，</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把</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钢直尺</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20cm，尺宽26mm，尺厚0.74mm，精度0.5mm</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把</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玉米饲料</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未破碎，干玉米</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斤</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豆粕饲料</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特技豆粕，饲料用</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斤</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麸皮饲料</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大片麦麸，饲料用</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斤</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鱼粉饲料</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国产，65%蛋白</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斤</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预混料</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新希望六和 畅旺，小猪料CW400，</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20kg/袋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育肥猪全价料</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正大大猪育肥猪全价颗粒配合饲料</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10kg/袋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母猪输精管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软头，带锁扣大头深部+输精瓶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蒸锅</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304不锈钢，加厚34cm双层</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比格犬专用狗粮</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比格犬专用狗粮，六拼（鲜肉+蛋黄+牛肉+羊乳酪+高蛋白颗粒+生骨肉粒）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15斤/袋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无菌纱布</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医用无菌纱布，10米*80cm</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宠物推毛器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宠物专用推毛器</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把</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紫头负压采血管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5ml紫色头（玻璃)</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100支/版</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红头负压采血管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5ml红色头无添加（玻璃)</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100支/版</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宠物喂药器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一体式，可夹取</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安瓿瓶空瓶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玻璃瓶，2ml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100个/盒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西林瓶空瓶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10ml，2.2*5cm，玻璃瓶，带胶塞</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50只/盒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留置针</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宠物用，24G，蝶型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4％枸橼酸钠溶液</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生理盐水</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500ML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1.5ml离心管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500支/包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牛奶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灭菌常温奶（250ml*24）</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箱</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酸奶发酵菌</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川秀双歧杆菌发酵粉（10g/袋）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糯米</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白糯米</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bdr w:val="none" w:color="auto" w:sz="0" w:space="0"/>
                <w:lang w:val="en-US" w:eastAsia="zh-CN" w:bidi="ar"/>
              </w:rPr>
              <w:t>粽叶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bdr w:val="none" w:color="auto" w:sz="0" w:space="0"/>
                <w:lang w:val="en-US" w:eastAsia="zh-CN" w:bidi="ar"/>
              </w:rPr>
              <w:t>粽叶真空直径10cm以上，500片/包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FF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FF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盐渍猪天然肠衣</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能灌装10斤，50g/袋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白糖</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白砂糖</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红糖</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红糖</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茶叶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红茶（金骏眉，150g/罐）</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罐</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茶叶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绿茶（龙井绿茶，50g/罐）</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罐</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一次性手套</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100-12只/盒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一次性纸杯</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255ml*100只/袋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塑料勺子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食用级，11cm长，DS2黄色小勺，2000只每箱</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箱</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猪精液</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采精杯</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塑料采精保温杯650ml/个</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一次性过滤袋</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100只/袋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一次性小头输精管+80ml瓶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100套</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一次性大头输精管+80ml瓶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100套</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一次性负压真空采血管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紫帽血常规抽血管（5ml)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100支/包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一次性负压真空采血管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红帽无添加抽血管（5ml)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100支/包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羊用假阴道套装</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包含外壳1个，内胎2条，集精杯2个，胶塞2个，皮圈2个，打气球1个</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乳房炎检测板</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塑料材质，每个检测板中含4个圆形检测区，每个圆形检测区直径约7厘米</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板</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奶牛乳房炎诊断液（CMT)</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CMT诊断液，每瓶500-1000毫升</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119</w:t>
            </w:r>
          </w:p>
        </w:tc>
        <w:tc>
          <w:tcPr>
            <w:tcW w:w="218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高锰酸钾</w:t>
            </w:r>
          </w:p>
        </w:tc>
        <w:tc>
          <w:tcPr>
            <w:tcW w:w="398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粉末状，瓶装，每瓶500克</w:t>
            </w:r>
          </w:p>
        </w:tc>
        <w:tc>
          <w:tcPr>
            <w:tcW w:w="94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品</w:t>
            </w:r>
          </w:p>
        </w:tc>
        <w:tc>
          <w:tcPr>
            <w:tcW w:w="7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医用消毒棉签</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50支/包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解剖刀片</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23#,10片/包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无水乙醇</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75%乙醇</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来苏儿</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新洁尔灭</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72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兽用体温计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兽用玻璃体温计，测量范围35℃-43℃，精度±0.2℃，长度约11cm，棒状设计，带清晰温度刻度，适用于犬猫等动物直肠体温测量，符合医用计量标准。</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72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84消毒液</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含氯消毒液，有效氯含量5%±0.5%，500ml瓶装，符合医用消毒标准，可杀灭肠道致病菌、化脓性球菌、致病性酵母菌等，适用于环境、器具、皮肤表面消毒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440"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医用棉签</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医用无菌棉签，10cm长度，竹制棒身，100%脱脂棉头，吸水量强，无荧光剂、无异味，单头设计，100支/包，环氧乙烷灭菌，符合医用卫生标准</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440"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一次性医用手套</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医用无菌乳胶手套，无粉设计，厚度0.08mm，弹性好，贴合手部，防穿刺、防体液渗透，100只/盒，环氧乙烷灭菌，符合医用防护标准</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72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医用载玻片</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显微镜专用载玻片，76*26mm尺寸，厚度1.0-1.2mm，钠钙玻璃材质，双面磨砂，边缘倒角，无气泡、无划痕，50片/盒，符合实验室显微镜使用标准</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72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普通手持宠物耳镜</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宠物专用手持耳镜，ABS塑料机身，高清光学镜片，放大倍数5倍，带LED冷光源，360°可旋转镜头，适配犬猫耳道检查，2节AA电池供电，总长约15cm</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440"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基础医用听诊器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医用单用听诊器，铜质听头，PVC胶管，长度约50cm，双用听头设计，可听心音、呼吸音、肠蠕动音，胶管柔软无异味，符合医用听诊器精度标准</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440"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一次性尿杯</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医用无菌尿杯，100ml容量，PP塑料材质，带刻度、带盖，密封性能好，无异味、无渗漏，单只独立包装，环氧乙烷灭菌，符合医用样本采集标准</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72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B超耦合剂</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医用超声耦合剂，250ml/瓶，无菌无刺激配方，pH值中性，适配各类B超探头，传导性能优异，无气泡、不干燥，易清洁，符合医用超声检查使用标准，无腐蚀性。</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真空饮水器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鸡用，5斤水壶，加厚</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普拉松饮水器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雏鸡款</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乳头饮水器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一体式，大号</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绞龙式送料管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59绞龙+75管（厚度3.6mm）</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塞片式链条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60管用，1米</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根</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WD-40润滑剂</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多用途00ml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猪投料定量杯</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容量6L，聚丙烯，包括储料盖、储料斗、下料控制阀、食量调节器、刻度带</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鸭嘴式饮水器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不锈钢，鸭嘴式，铜帽</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连脚带帽防护服</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165-175内可穿</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连脚带帽防护服</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175-180内可穿</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一次性手术衣/隔离衣</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45g隔离衣独立包装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铝制饭盒</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香柏油</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一次性真空采血EDTAK2抗凝管（玻璃）</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规格：5ml，100只/盒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一次性静脉采血针</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0.55*19mm，100支/包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瑞士—吉姆萨染色液</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20ml*4瓶/盒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血细胞计数板</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1片装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血盖片</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100片/盒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200ul枪头</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1000支/包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1000ul枪头</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500个/包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兔用导尿管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导尿管（2mm）长40mm</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犬用导尿管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双腔导尿管规格Fr6(2.0mm)</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液体石蜡油</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PH试纸</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规格;广泛试纸1-14，80片/本</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本</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麦康凯琼脂培养基</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250g/瓶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伊红美蓝琼脂培养基</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250g/瓶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蛋白胨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250g/瓶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青霉素药敏片</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20片/瓶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庆大霉素药敏片</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20片/瓶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苯唑西林药敏片</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20片/瓶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红霉素药敏片</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20片/瓶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万古霉素</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20片/瓶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四环素</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20片/瓶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MH琼脂培养基</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250g/瓶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新城疫标准抗原</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96孔V型微量血凝板（塑料）</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96孔V型110℃ ，10个/包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PBS粉末</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1L/包（速溶颗粒）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50ml无菌离心管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25个/袋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牛奶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灭菌常温奶（250ml*24）</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箱</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酸奶发酵菌</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川秀双歧杆菌发酵粉（10g/袋）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糯米</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白糯米</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bdr w:val="none" w:color="auto" w:sz="0" w:space="0"/>
                <w:lang w:val="en-US" w:eastAsia="zh-CN" w:bidi="ar"/>
              </w:rPr>
              <w:t>176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bdr w:val="none" w:color="auto" w:sz="0" w:space="0"/>
                <w:lang w:val="en-US" w:eastAsia="zh-CN" w:bidi="ar"/>
              </w:rPr>
              <w:t>粽叶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bdr w:val="none" w:color="auto" w:sz="0" w:space="0"/>
                <w:lang w:val="en-US" w:eastAsia="zh-CN" w:bidi="ar"/>
              </w:rPr>
              <w:t>粽叶真空直径10cm以上，500片/包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FF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FF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盐渍猪天然肠衣</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能灌装10斤，50g/袋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白糖</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白砂糖</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红糖</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红糖</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茶叶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红茶（金骏眉，150g/罐）</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罐</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茶叶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绿茶（龙井绿茶，50g/罐）</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罐</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一次性手套</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100-12只/盒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一次性纸杯</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255ml*100只/袋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一次性勺子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100只/袋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大剪刀（张小泉骨剪、绿色）</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把</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把</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一次性采血器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5ml，7号，100支/袋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75%消毒酒精</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2.5L/桶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干棉球</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200粒/袋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一次性平皿</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500个/箱，90*15mm</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箱</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190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载玻片</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50片/盒，边磨砂</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191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氯化钠溶液</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192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鸡伤寒多价染色抗原</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193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鸡伤寒多价阳性血清</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194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梅花打孔器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7mm</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195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动物医院处方笺</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三联动物处方笺100页/本</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本</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196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手套</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丁腈手套100只/盒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197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兽用手术缝合线团</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5-0线团</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198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兽用手术缝合线团</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2-0线团</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199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兽用缝合针</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圆针，规格：8*20，10支/袋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兽用缝合针</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圆针，规格：11*34，10支/袋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加厚透明航空杯</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规格200ml，50个/袋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虎红平板凝集试验抗原</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虎红平板凝集试验阳性血清</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虎红平板凝集试验卡纸</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50次每张</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张</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氰化物测定试剂盒</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（0.005—0.5mg/L）50次/盒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氟化物测定试剂盒</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（0—1.5mg/L）50次/盒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土壤有害物质检测（铅+汞+镉+铬+砷）</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2次/包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大肠杆菌检测试剂盒（试纸）</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5条/盒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宽帮青菜</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D（豫新平）农种许字（2019）第0001号，每袋500粒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计价秤</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最大称重60斤，插电+蓄电+交流电，</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台</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体视显微镜</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双目镜，7-180X，配有环形灯</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台</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卷尺</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5米，尺带厚度，0.2毫米以上</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无水硫酸铜</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纯度98%以上，农用,25kg每袋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黑色除草地膜</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2-3年50克，1.5*100米，</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生石灰</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50斤</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五水合硫酸铜</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ar99%，500克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陶瓷研钵</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外径130mm，配有药勺和研磨棒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实验室棉线</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1.2mm以上,600米以上，单规格线重95克以上</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生物解剖器（七件套）</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重量150克以上</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蜡盘（解剖盘）</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19*26厘米</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72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地温计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小款直角型五支组木盒装，插入深度分别是5厘米、10厘米、15厘米、20厘米、25厘米，测量范围：－20—50，分度值：1度，产品材质：铁镀铬套管+</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硝酸钾标准溶液</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浓度100mg/L,500mL/瓶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硝酸钙标准溶液</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浓度1mol/L,500mL/瓶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硝酸铵标准溶液</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浓度50mg/L,500mL/瓶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干湿球温度计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干度测量范围-10℃-50℃，湿度0%RH-100%RH</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氢氧化钠</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雪碧汽水</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面粉</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5公斤/袋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vMerge w:val="restart"/>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229</w:t>
            </w:r>
          </w:p>
        </w:tc>
        <w:tc>
          <w:tcPr>
            <w:tcW w:w="2184" w:type="dxa"/>
            <w:vMerge w:val="restart"/>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移液管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1ml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根</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vMerge w:val="continue"/>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2ml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根</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vMerge w:val="continue"/>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5ml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根</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容量瓶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50ml，塑料</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容量瓶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100ml，塑料</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比色杯</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石英1cm×1cm</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碱式乙酸铅</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咖啡碱</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25g/瓶 含量大于等于99%</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盐酸标准液</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0.05m/L  1000ml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冬小麦种子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川东丘陵冬小麦商用良种，发芽率≥90%，净度98%</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甘蓝型油菜种子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川东本地高产甘蓝型油菜，包衣良种，发芽率≥92%</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腐熟苎麻秸秆</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秸秆粉碎2~3cm，堆腐45d完全腐熟，黑褐色无异味，有机质原料</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腐熟菜籽饼有机肥</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油料副产物腐熟，有机质≥45%，粉碎细度≤3mm</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园艺珍珠岩</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颗粒3~6mm，无尘轻质，透气疏松基质改良料</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L</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亚硒酸钠（分析纯AR）</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硒含量≥99%，化学试剂，富硒试验专用硒源</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防水PVC吊牌标签</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8cm×3cm防水耐晒吊牌，配套尼龙扎丝</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张</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5m自锁钢卷尺</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耐磨PVC尺带，金属尺头</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把</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不锈钢游标卡尺</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0~150mm，精度0.02mm，带深度测量头</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把</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便携式SPAD叶绿素仪</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无损叶片检测，测量范围0~99SPAD，充电款</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台</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pH/EC二合一土壤检测仪</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复合电极，同步测定基质pH、电导率</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台</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30mL耐高温陶瓷坩埚</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耐腐蚀，有机质、植株样品消煮容器</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加厚自封PE样品袋</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16×24cm透明加厚款</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10L食品级塑料搅拌桶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耐酸碱带手提把手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小型园艺铲耙套装</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不锈钢小铲+塑料耙，盆栽专用</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A4防水硬壳试验记录本</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防水封面，100页内页</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本</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粗头油性防水记号笔</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户外日晒不晕染，黑色</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尼龙捆扎麻绳</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100m/卷，耐腐蚀高强度</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9cm塑料带盖发芽皿</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透明密封，种子发芽率检测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定量塑料播种勺</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分大小孔径，小麦油菜定量点播</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01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盆栽自动滴灌整套系统</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含200L储水桶、小型增压水泵、定时灌溉控制器、4/7PE滴灌管、压力补偿式滴头、三通、固定卡扣、堵头；单盆2个滴头，可定时定量供水。（可实现500盆盆栽灌溉，覆盖面积约1亩。）</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滴灌PE固定扎带</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塑料自锁扎带，固定滴灌管道(每包100根)</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加厚无纺布栽培盆</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口径≥30，高≥30，加厚款</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190"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黑色园艺地布（防草布）</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材质与工艺：采用全新高密度聚乙烯（PE）扁丝原料，布面边缘热封加固防脱丝</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规格：常规幅宽 2m，单卷标准长度 100m</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遮光抑草性能：纯黑色全遮光设计，遮光率≥97%</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透水透气性能：织物空隙率稳定在 35%~42%，垂直渗透速率≥2.0L/(m²・min)，雨水可快速下渗不积水，土壤气体可正常交换，避免作物闷根烂根</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力学性能：经向拉伸强度≥1200N/m，纬向拉伸强度≥1000N/m，CBR 顶破强力≥0.9kN，撕破强力≥0.16kN，耐人工踩踏、抗田间拉扯，不易破损</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耐候抗老化：QUV-B 紫外加速老化 1500 小时后，拉伸强度保持率≥80%；露天田间正常使用寿命≥5 年，棚内 / 室内环境使用寿命≥8 年；耐土壤酸碱腐蚀、抗微生物虫蛀，适用温度范围 - 40℃~+70℃</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外观与标准：布面平整无毛边，同面积断丝数≤3 根 /㎡，无破洞与明显色差；符合 GB/T 8946-2013、QB/T 3808-1999 相关技术规范</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平方米</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260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bdr w:val="none" w:color="auto" w:sz="0" w:space="0"/>
                <w:lang w:val="en-US" w:eastAsia="zh-CN" w:bidi="ar"/>
              </w:rPr>
              <w:t>科普种子标本</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bdr w:val="none" w:color="auto" w:sz="0" w:space="0"/>
                <w:lang w:val="en-US" w:eastAsia="zh-CN" w:bidi="ar"/>
              </w:rPr>
              <w:t>蔬菜、水果、粮油等种子108种，玻璃瓶装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bdr w:val="none" w:color="auto" w:sz="0" w:space="0"/>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FF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FF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261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本氏烟草种子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1ml/支（4℃，干燥）</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262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‘红颜’草莓种子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160粒/包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263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次氯酸钠</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纯度:AR，6-14.0%； 500ml/瓶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264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6-BA</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纯度:99%； 5g/瓶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265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琼脂粉</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BR试剂、5g/瓶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266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MS培养基</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250g/瓶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267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天然风化石颗粒</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20斤/袋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268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有机营养土</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100斤/袋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269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泥炭土</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9斤/袋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270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育苗穴盘</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32孔、高5.3厘米</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271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IBA(吲哚丁酸)</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级别：BR;纯度≥99%；5g/瓶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272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NAA（1-萘乙酸）</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纯度：96%；25g/瓶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273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培养皿</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EO灭菌12小时/普通款90mm（12g）；500套/箱</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箱</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274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PC塑料组培瓶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br w:type="textWrapping"/>
            </w:r>
            <w:r>
              <w:rPr>
                <w:rStyle w:val="118"/>
                <w:bdr w:val="none" w:color="auto" w:sz="0" w:space="0"/>
                <w:lang w:val="en-US" w:eastAsia="zh-CN" w:bidi="ar"/>
              </w:rPr>
              <w:t>270ml瓶+透气盖（φ70*110mm）</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275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培养皿封口膜</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10cm*10cm</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276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意大利生菜种子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原装1包2000粒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277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水培蔬菜辅助种植耗材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32mm孔径一套（含 1个EPE漂浮板+24个定植篮+24种植绵）</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278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种植箱</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材质：塑料；尺寸：长80宽59高47</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279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解剖针</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针头直径约:1.5mm</w:t>
            </w:r>
            <w:r>
              <w:rPr>
                <w:rStyle w:val="118"/>
                <w:bdr w:val="none" w:color="auto" w:sz="0" w:space="0"/>
                <w:lang w:val="en-US" w:eastAsia="zh-CN" w:bidi="ar"/>
              </w:rPr>
              <w:br w:type="textWrapping"/>
            </w:r>
            <w:r>
              <w:rPr>
                <w:rStyle w:val="118"/>
                <w:bdr w:val="none" w:color="auto" w:sz="0" w:space="0"/>
                <w:lang w:val="en-US" w:eastAsia="zh-CN" w:bidi="ar"/>
              </w:rPr>
              <w:t>手柄直径约：3.5mm</w:t>
            </w:r>
            <w:r>
              <w:rPr>
                <w:rStyle w:val="118"/>
                <w:bdr w:val="none" w:color="auto" w:sz="0" w:space="0"/>
                <w:lang w:val="en-US" w:eastAsia="zh-CN" w:bidi="ar"/>
              </w:rPr>
              <w:br w:type="textWrapping"/>
            </w:r>
            <w:r>
              <w:rPr>
                <w:rStyle w:val="118"/>
                <w:bdr w:val="none" w:color="auto" w:sz="0" w:space="0"/>
                <w:lang w:val="en-US" w:eastAsia="zh-CN" w:bidi="ar"/>
              </w:rPr>
              <w:t>重量约:7g</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280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载玻片</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7105磨砂面载玻片50片/盒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281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盖玻片</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盖玻片18*18/ 100片/盒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282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吸水纸</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100张/盒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283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毛细管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点样0.5*200mm ；1000支/筒 ；两头通</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284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石英砂</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石英砂20-40目 分析纯；500g/瓶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285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碳酸钙</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 xml:space="preserve"> 碳酸钙 试剂级 99%；500g/瓶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286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层析液</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层析液用于提取液叶绿素；100mL/瓶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287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层析滤纸</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滤纸色层分析滤纸60*60cm；层析滤纸10张；10条/盒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288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pH试纸</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PH试纸0-14ph 100条/盒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289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玉米种子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黑甜糯玉米种子1包（100g）</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290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小麦种子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小麦250g/1包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291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黄芪种子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多年生黄芪种子（一斤装）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斤</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292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甘草种子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甘草种子【半斤】</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斤</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293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钢卷尺</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10米(卷尺10mx25mm)</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294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黑色地膜（农用种菜）</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每卷（0.8米宽；250米长）</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295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快速测温温度计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可测范围：-50°C - 300°C</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探针长度：15cm</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296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 xml:space="preserve"> TTC 试剂（红四氮唑、2,3,5-三苯基氯化四氮唑）</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AR 试剂级； 95%； 5g/瓶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297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黄精带叶种植苗</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带叶子黄精种植苗；2公分起块茎</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298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金银花种子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200粒/袋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299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花盆</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Style w:val="118"/>
                <w:bdr w:val="none" w:color="auto" w:sz="0" w:space="0"/>
                <w:lang w:val="en-US" w:eastAsia="zh-CN" w:bidi="ar"/>
              </w:rPr>
              <w:t>口径20cm</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种植袋</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加厚；白色；尺寸:40*30加固两手提</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592"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板式木质标本夹</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采用实木杉木条镂空拼接结构，标准尺寸 40cm×30cm；木条宽 30mm、厚 10mm，透气防潮不易变形；配套 2 条宽 1.5cm 加宽尼龙绑带，可自由调节松紧；重量轻便，兼顾野外采集便携性与室内压制平整度，可长期重复使用，要配套能直接使用。</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440"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纸质采集号牌</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加厚牛皮纸材质，带尼龙挂绳，标准尺寸 5cm×3cm；单面印刷编号栏，防水耐折不易破损；挂绳可直接系于标本枝条上，不易脱落，≥100个/包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72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野外采集记录本</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32 开便携尺寸，80g 双胶纸内页；预设采集号、中文名、科名、采集地、生境、海拔、株高、花果颜色、采集日期、采集人等固定字段；防水封面，适配户外复杂环境</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本</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72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大号牛皮采集纸袋</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加厚牛皮纸材质，尺寸 30cm×40cm，袋口带自粘封条；透气不闷湿，韧性强不易破；可临时存放柔软花果、细小标本，防止碰损萎蔫，≥100个/包。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52"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丁腈防滑劳保手套</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 针涤纶内衬，丁腈涂掌工艺，防滑耐磨；薄款贴合手部，不影响精细操作；可防植物刺刮、防汁液刺激皮肤</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副</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01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标本专用吸水草纸</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 开标准尺寸（42cm×30cm），加厚纯木浆材质，单张厚度 0.6mm；吸水性强、不掉毛屑、纸面平整，可反复晾晒循环使用；无油墨污染，不会损伤植物叶片与色素，≥30张/包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440"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透气瓦楞纸</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 开尺寸（42cm×30cm），B 型瓦楞结构，双面牛皮纸；中空结构大幅增加空气流通，加速水分散发；挺度好，可重复使用，≥60张/包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440"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变色硅胶干燥剂</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颗粒状蓝色硅胶，吸湿后变为粉红色，经 120℃烘干可重复使用；500g 袋装，化学性质稳定，无腐蚀性，不损伤植物组织</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52"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尼龙捆扎绑带</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宽 1.5cm，长 120cm，高强度丙纶材质；配塑料日字扣，松紧调节方便，抗拉扯不易断，耐老化可重复使用</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条</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52"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尖头不锈钢镊子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12cm 细尖头，304 不锈钢材质，防锈耐腐蚀；尖端咬合紧密，可精准调整叶片、花瓣姿态，不损伤细嫩组织</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把</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72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标准腊叶标本台纸</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 开标准尺寸（42cm×29.7cm），250g 白卡纸，挺括不变形；纸面光滑无杂质，符合全国植物标本馆通用规范；边缘裁切整齐无毛边</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张</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98</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52"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标本装订棉线</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 支粗白棉线，纯棉材质，无化学漂白；韧性强、不易断，不会腐蚀损伤植物组织，符合专业标本制作规范</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窄款透明文具胶带</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宽度 12mm，高粘性 BOPP 材质；透明度高，不易黄变，粘性持久，不腐蚀植物组织</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72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标准腊叶标本标签</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9cm×6cm，80g 双胶纸；预设固定字段：中文名、学名、科名、采集地、生境、采集日期、采集人、鉴定人、鉴定日期；印刷清晰，书写不洇墨，≥100张/包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金属打孔锥子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不锈钢尖头锥，实木手柄，总长 12cm；针尖锋利，打孔顺畅，不易撕裂纸张</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环保白乳胶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环保 PVA 材质，小号瓶装 60ml；干后透明无痕，粘性适中，不会腐蚀植物组织与纸张</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玉米种子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D（辽沈新）农种许字（2017）第0021号，每袋500克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玉米种子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ascii="宋体" w:hAnsi="宋体" w:eastAsia="宋体" w:cs="宋体"/>
                <w:i w:val="0"/>
                <w:color w:val="0F1115"/>
                <w:kern w:val="0"/>
                <w:sz w:val="22"/>
                <w:szCs w:val="22"/>
                <w:u w:val="none"/>
                <w:bdr w:val="none" w:color="auto" w:sz="0" w:space="0"/>
                <w:lang w:val="en-US" w:eastAsia="zh-CN" w:bidi="ar"/>
              </w:rPr>
              <w:t>黑甜糯玉米种子1包（100g）</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有机营养土</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ascii="宋体" w:hAnsi="宋体" w:eastAsia="宋体" w:cs="宋体"/>
                <w:i w:val="0"/>
                <w:color w:val="0F1115"/>
                <w:kern w:val="0"/>
                <w:sz w:val="22"/>
                <w:szCs w:val="22"/>
                <w:u w:val="none"/>
                <w:bdr w:val="none" w:color="auto" w:sz="0" w:space="0"/>
                <w:lang w:val="en-US" w:eastAsia="zh-CN" w:bidi="ar"/>
              </w:rPr>
              <w:t>100斤/袋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52"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320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腐熟苎麻秸秆原料</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当年新鲜苎麻茎秆，粉碎至2~3cm，无霉变杂草，独立露天堆腐45d完全腐熟，有机质原料</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321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市售常规商品盆栽基质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市面主流通用成品基质，配比为草炭+珍珠岩+腐熟有机肥</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L</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322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腐熟菜籽饼有机肥</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油菜籽榨油副产物，充分堆腐发酵，有机质≥45%，粉碎细度≤3mm，无恶臭结块</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323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园艺珍珠岩</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3~6mm硬质无尘颗粒，透气疏水，园艺基质改良专用，无粉尘污染</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L</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324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小白菜种子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净度≥98%，发芽率≥85%，病虫害率≤1%，本地常规品种，按50g/袋分装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克（g）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325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线椒种子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纯度≥95%，发芽率≥80%，对疫病、病毒病达中抗（MR）级以上，本地常规品种</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克（g）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326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野生南瓜种子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发芽率≥85%，嫁接亲和性好（嫁接成活率≥90%），抗逆性强</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克（g）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327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迷你西瓜种子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纯度≥95%，发芽率≥85%，抗病（枯萎病/炭疽病），本地常规品种，按50g/袋分装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克（g）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328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矮生一串红幼苗</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花期长、本地常规品种</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329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三角梅扦插苗</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一年生扦插壮苗，分枝均匀，无病害</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330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青脆李嫁接幼苗</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川东北本地一年生嫁接壮苗，无流胶、根腐病，果树盆栽专用</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331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绿萝扦插小苗</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统一扦插规格，叶片完整无黄叶，室内观叶绿植</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332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玉露多肉成株</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大小规格统一，无徒长、烂根、化水，桌面多肉品种</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333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pH/EC二合一土壤检测仪</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复合防水电极，可同步测定基质pH、电导率EC值</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台</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334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加厚自封PE样品袋</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16×24cm，透明加厚，自带密封封条，防水防漏</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335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VC快速检测试剂盒</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果蔬维生素C定量快速检测，适配叶菜、瓜果果实</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336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硝酸盐快速检测试纸</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适配叶菜硝酸盐安全指标半定量快速检测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337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一年生茶树扦插苗</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川东北本地中小叶茶品种，无病虫害，株高12~15cm，统一规格</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338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加厚无纺布栽培盆（茶树专用）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口径≥30cm，高度≥25cm，深盆适配茶树深根系</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339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茶多酚/氨基酸检测试剂盒</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茶叶品质专用快速检测试剂盒，适配鲜茶样品</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340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小型茶叶鲜叶杀青锅</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220V，小型鲜茶杀青、烘干预处理，口径不低于60cm</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台</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341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玻片</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20片/盒，内含乳酸菌、霉菌、酵母菌、放线菌等微生物</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342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香柏油</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显微镜使用，25ml/瓶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343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棕色小口试剂瓶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(高硼硅)1000mL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344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气体采样袋（加强环保型）</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环保级铝箔、PP材质、硅胶垫片；单阀门0.5L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38</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345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气体采样袋（加强环保型）</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环保级铝箔、PP材质、硅胶垫片；单阀门1L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38</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346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一次性注射器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50mL注射器，针头规格：1.6X32mm;单支无菌独立包装，25支/盒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52"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347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有机玻璃采水器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容积1L,8mm加固,有机玻璃,最大处直径120mm,总高度275mm，配套绳索、软管、卡子等配件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348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近岸远水采样器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塑料带刻度500mL;不锈钢伸缩杆伸缩前后长度0.98－2.5m，</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349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500mL采样瓶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带刻度大口采样瓶，白色半透明PE带内盖</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350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硫酸锰</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分析纯500g/瓶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351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培养皿</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一次性无菌培养皿无菌密封带盖9cm*1.5CM,10个*50袋，500个/箱</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箱</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352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牛肉膏蛋白胨培养基</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250g/瓶，奥博星牛肉膏蛋白胨干粉培养基</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353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LB营养琼脂</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250g/瓶，奥博星LB营养琼脂干粉培养基</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354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沙式琼脂培养基</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250g/瓶，奥博星沙式琼脂干粉培养基</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355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麦芽汁琼脂培养基</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250g/瓶，奥博星麦芽汁琼脂干粉培养基</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356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红茶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500g/袋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357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平底锅</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直径26cm，陶瓷不粘锅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口</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358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木质锅铲</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长度大于20cm，</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把</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359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白西米</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1000g</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360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蒸发皿</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100ml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361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乌士粘度计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2.0mm</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362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胰酶BR-1</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100g</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363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唾液淀粉酶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2%溶液</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364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菜刀</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全刀长最大值30厘米，不锈钢，开刃，重量不低于200g</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把</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365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食用油</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5乚，非转基因</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366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平底炒锅</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直径≥40cm，不粘锅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367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纯牛奶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250ml/盒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368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酸奶发酵瓶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100ml，玻璃材质</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369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酸奶发酵菌剂</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含五种益生菌，10小包/包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370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浓缩麦芽汁</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2kg/桶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371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啤酒酵母</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艾尔酵母，12g/包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372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一次性饮料杯</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口径98mm,容积约360ml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373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调酒器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500ml雪克杯</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374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食用明胶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食品级，500g/包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375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麦芽糖醇</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食品级，结晶性固体粉末，500g/包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376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食用抗性糊精</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食品级，500g/包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377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食用菊粉</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食品级，500g/包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378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巧克力粉</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100%纯可可粉，食品级，500g/包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379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食用姜黄粉</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食品级，250g/瓶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380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茉莉花茶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500ml/瓶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381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橙汁</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382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雪碧</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383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白酒</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52度，L</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L</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384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哇哈哈AD钙奶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5瓶/板</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板</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385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黄油</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烘焙用动物黄油，共5Kg（0.5kg/包）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386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奶酪</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烘焙用原制干酪奶酪，真空分装1000g</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387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高筋面粉</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北大荒高筋小麦粉，1KG/袋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388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低筋面粉</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金龙鱼糕点用低筋小麦粉2.5kg*2袋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389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色拉油</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5L/瓶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白砂糖</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5KG/袋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酵母粉</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5g*20包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蔬菜水果农药残留胶体金快速检测卡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10次/盒，适用于新鲜蔬菜、水果样品中氟虫腈残留的定性检测。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果蔬多菌灵农药残留快速检测卡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10次/盒，适用于新鲜蔬菜、水果样品中多菌灵测定</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禽蛋磺胺类快速检测卡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10次/盒，适用于猪/牛/羊肉样及鸡蛋/鸭蛋等蛋品快速检测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农残测试纸检测卡试剂</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20次/盒，用于水果，蔬菜，有机磷和氨基甲酸类农药的快速检测。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磺胺类快速检测盒（胶体金）</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10次/盒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恩诺沙星快速检测盒（胶体金）</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10次/盒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五氯酚酸钠快速检测盒（胶体金）</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10次/盒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氯霉素快速检测盒（FST-荧光层析）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【0.1μgkg】10次/盒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孔雀石绿快速检测盒（FST-荧光层析）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【0.5μgkg】10次/盒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呋喃唑酮代谢物快速检测盒（FST-荧光层析）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【0.5μgkg】10次/盒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呋喃它酮代谢物快速检测盒（FST-荧光层析）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【0.5μgkg】10次/盒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2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柠檬酸</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F1115"/>
                <w:kern w:val="0"/>
                <w:sz w:val="23"/>
                <w:szCs w:val="23"/>
                <w:u w:val="none"/>
                <w:bdr w:val="none" w:color="auto" w:sz="0" w:space="0"/>
                <w:lang w:val="en-US" w:eastAsia="zh-CN" w:bidi="ar"/>
              </w:rPr>
              <w:t>食品级，一水柠檬酸，含量</w:t>
            </w:r>
            <w:r>
              <w:rPr>
                <w:rFonts w:ascii="Segoe UI" w:hAnsi="Segoe UI" w:eastAsia="Segoe UI" w:cs="Segoe UI"/>
                <w:i w:val="0"/>
                <w:color w:val="0F1115"/>
                <w:kern w:val="0"/>
                <w:sz w:val="23"/>
                <w:szCs w:val="23"/>
                <w:u w:val="none"/>
                <w:bdr w:val="none" w:color="auto" w:sz="0" w:space="0"/>
                <w:lang w:val="en-US" w:eastAsia="zh-CN" w:bidi="ar"/>
              </w:rPr>
              <w:t>≥99.0%</w:t>
            </w:r>
            <w:r>
              <w:rPr>
                <w:rFonts w:hint="eastAsia" w:ascii="宋体" w:hAnsi="宋体" w:eastAsia="宋体" w:cs="宋体"/>
                <w:i w:val="0"/>
                <w:color w:val="0F1115"/>
                <w:kern w:val="0"/>
                <w:sz w:val="23"/>
                <w:szCs w:val="23"/>
                <w:u w:val="none"/>
                <w:bdr w:val="none" w:color="auto" w:sz="0" w:space="0"/>
                <w:lang w:val="en-US" w:eastAsia="zh-CN" w:bidi="ar"/>
              </w:rPr>
              <w:t>，用作酸味剂和护色剂，500g</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4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聚乙烯保鲜膜</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F1115"/>
                <w:kern w:val="0"/>
                <w:sz w:val="23"/>
                <w:szCs w:val="23"/>
                <w:u w:val="none"/>
                <w:bdr w:val="none" w:color="auto" w:sz="0" w:space="0"/>
                <w:lang w:val="en-US" w:eastAsia="zh-CN" w:bidi="ar"/>
              </w:rPr>
              <w:t>食品级</w:t>
            </w:r>
            <w:r>
              <w:rPr>
                <w:rFonts w:ascii="Segoe UI" w:hAnsi="Segoe UI" w:eastAsia="Segoe UI" w:cs="Segoe UI"/>
                <w:i w:val="0"/>
                <w:color w:val="0F1115"/>
                <w:kern w:val="0"/>
                <w:sz w:val="23"/>
                <w:szCs w:val="23"/>
                <w:u w:val="none"/>
                <w:bdr w:val="none" w:color="auto" w:sz="0" w:space="0"/>
                <w:lang w:val="en-US" w:eastAsia="zh-CN" w:bidi="ar"/>
              </w:rPr>
              <w:t>PE</w:t>
            </w:r>
            <w:r>
              <w:rPr>
                <w:rFonts w:hint="eastAsia" w:ascii="宋体" w:hAnsi="宋体" w:eastAsia="宋体" w:cs="宋体"/>
                <w:i w:val="0"/>
                <w:color w:val="0F1115"/>
                <w:kern w:val="0"/>
                <w:sz w:val="23"/>
                <w:szCs w:val="23"/>
                <w:u w:val="none"/>
                <w:bdr w:val="none" w:color="auto" w:sz="0" w:space="0"/>
                <w:lang w:val="en-US" w:eastAsia="zh-CN" w:bidi="ar"/>
              </w:rPr>
              <w:t>，厚度</w:t>
            </w:r>
            <w:r>
              <w:rPr>
                <w:rFonts w:ascii="Segoe UI" w:hAnsi="Segoe UI" w:eastAsia="Segoe UI" w:cs="Segoe UI"/>
                <w:i w:val="0"/>
                <w:color w:val="0F1115"/>
                <w:kern w:val="0"/>
                <w:sz w:val="23"/>
                <w:szCs w:val="23"/>
                <w:u w:val="none"/>
                <w:bdr w:val="none" w:color="auto" w:sz="0" w:space="0"/>
                <w:lang w:val="en-US" w:eastAsia="zh-CN" w:bidi="ar"/>
              </w:rPr>
              <w:t>0.02mm</w:t>
            </w:r>
            <w:r>
              <w:rPr>
                <w:rFonts w:hint="eastAsia" w:ascii="宋体" w:hAnsi="宋体" w:eastAsia="宋体" w:cs="宋体"/>
                <w:i w:val="0"/>
                <w:color w:val="0F1115"/>
                <w:kern w:val="0"/>
                <w:sz w:val="23"/>
                <w:szCs w:val="23"/>
                <w:u w:val="none"/>
                <w:bdr w:val="none" w:color="auto" w:sz="0" w:space="0"/>
                <w:lang w:val="en-US" w:eastAsia="zh-CN" w:bidi="ar"/>
              </w:rPr>
              <w:t>，宽度</w:t>
            </w:r>
            <w:r>
              <w:rPr>
                <w:rFonts w:ascii="Segoe UI" w:hAnsi="Segoe UI" w:eastAsia="Segoe UI" w:cs="Segoe UI"/>
                <w:i w:val="0"/>
                <w:color w:val="0F1115"/>
                <w:kern w:val="0"/>
                <w:sz w:val="23"/>
                <w:szCs w:val="23"/>
                <w:u w:val="none"/>
                <w:bdr w:val="none" w:color="auto" w:sz="0" w:space="0"/>
                <w:lang w:val="en-US" w:eastAsia="zh-CN" w:bidi="ar"/>
              </w:rPr>
              <w:t>30cm</w:t>
            </w:r>
            <w:r>
              <w:rPr>
                <w:rFonts w:hint="eastAsia" w:ascii="宋体" w:hAnsi="宋体" w:eastAsia="宋体" w:cs="宋体"/>
                <w:i w:val="0"/>
                <w:color w:val="0F1115"/>
                <w:kern w:val="0"/>
                <w:sz w:val="23"/>
                <w:szCs w:val="23"/>
                <w:u w:val="none"/>
                <w:bdr w:val="none" w:color="auto" w:sz="0" w:space="0"/>
                <w:lang w:val="en-US" w:eastAsia="zh-CN" w:bidi="ar"/>
              </w:rPr>
              <w:t>，透气性适中</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卷</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440"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气调保鲜袋</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PE复合膜，厚度0.04mm，透氧率≤2000 cm³/m²·24h·atm，尺寸40cm×50cm，适合果蔬自发气调贮藏</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标签纸</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防水耐撕，自粘，尺寸约30mm×50mm，每包约100张</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72"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维生素C</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F1115"/>
                <w:kern w:val="0"/>
                <w:sz w:val="23"/>
                <w:szCs w:val="23"/>
                <w:u w:val="none"/>
                <w:bdr w:val="none" w:color="auto" w:sz="0" w:space="0"/>
                <w:lang w:val="en-US" w:eastAsia="zh-CN" w:bidi="ar"/>
              </w:rPr>
              <w:t>食品级（</w:t>
            </w:r>
            <w:r>
              <w:rPr>
                <w:rFonts w:ascii="Segoe UI" w:hAnsi="Segoe UI" w:eastAsia="Segoe UI" w:cs="Segoe UI"/>
                <w:i w:val="0"/>
                <w:color w:val="0F1115"/>
                <w:kern w:val="0"/>
                <w:sz w:val="23"/>
                <w:szCs w:val="23"/>
                <w:u w:val="none"/>
                <w:bdr w:val="none" w:color="auto" w:sz="0" w:space="0"/>
                <w:lang w:val="en-US" w:eastAsia="zh-CN" w:bidi="ar"/>
              </w:rPr>
              <w:t>L-</w:t>
            </w:r>
            <w:r>
              <w:rPr>
                <w:rFonts w:hint="eastAsia" w:ascii="宋体" w:hAnsi="宋体" w:eastAsia="宋体" w:cs="宋体"/>
                <w:i w:val="0"/>
                <w:color w:val="0F1115"/>
                <w:kern w:val="0"/>
                <w:sz w:val="23"/>
                <w:szCs w:val="23"/>
                <w:u w:val="none"/>
                <w:bdr w:val="none" w:color="auto" w:sz="0" w:space="0"/>
                <w:lang w:val="en-US" w:eastAsia="zh-CN" w:bidi="ar"/>
              </w:rPr>
              <w:t>抗坏血酸），含量</w:t>
            </w:r>
            <w:r>
              <w:rPr>
                <w:rFonts w:ascii="Segoe UI" w:hAnsi="Segoe UI" w:eastAsia="Segoe UI" w:cs="Segoe UI"/>
                <w:i w:val="0"/>
                <w:color w:val="0F1115"/>
                <w:kern w:val="0"/>
                <w:sz w:val="23"/>
                <w:szCs w:val="23"/>
                <w:u w:val="none"/>
                <w:bdr w:val="none" w:color="auto" w:sz="0" w:space="0"/>
                <w:lang w:val="en-US" w:eastAsia="zh-CN" w:bidi="ar"/>
              </w:rPr>
              <w:t>≥99.0%</w:t>
            </w:r>
            <w:r>
              <w:rPr>
                <w:rFonts w:hint="eastAsia" w:ascii="宋体" w:hAnsi="宋体" w:eastAsia="宋体" w:cs="宋体"/>
                <w:i w:val="0"/>
                <w:color w:val="0F1115"/>
                <w:kern w:val="0"/>
                <w:sz w:val="23"/>
                <w:szCs w:val="23"/>
                <w:u w:val="none"/>
                <w:bdr w:val="none" w:color="auto" w:sz="0" w:space="0"/>
                <w:lang w:val="en-US" w:eastAsia="zh-CN" w:bidi="ar"/>
              </w:rPr>
              <w:t>，用作抗氧化护色剂，</w:t>
            </w:r>
            <w:r>
              <w:rPr>
                <w:rFonts w:ascii="Segoe UI" w:hAnsi="Segoe UI" w:eastAsia="Segoe UI" w:cs="Segoe UI"/>
                <w:i w:val="0"/>
                <w:color w:val="0F1115"/>
                <w:kern w:val="0"/>
                <w:sz w:val="23"/>
                <w:szCs w:val="23"/>
                <w:u w:val="none"/>
                <w:bdr w:val="none" w:color="auto" w:sz="0" w:space="0"/>
                <w:lang w:val="en-US" w:eastAsia="zh-CN" w:bidi="ar"/>
              </w:rPr>
              <w:t>100g/</w:t>
            </w:r>
            <w:r>
              <w:rPr>
                <w:rFonts w:hint="eastAsia" w:ascii="宋体" w:hAnsi="宋体" w:eastAsia="宋体" w:cs="宋体"/>
                <w:i w:val="0"/>
                <w:color w:val="0F1115"/>
                <w:kern w:val="0"/>
                <w:sz w:val="23"/>
                <w:szCs w:val="23"/>
                <w:u w:val="none"/>
                <w:bdr w:val="none" w:color="auto" w:sz="0" w:space="0"/>
                <w:lang w:val="en-US" w:eastAsia="zh-CN" w:bidi="ar"/>
              </w:rPr>
              <w:t>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F1115"/>
                <w:kern w:val="0"/>
                <w:sz w:val="23"/>
                <w:szCs w:val="23"/>
                <w:u w:val="none"/>
                <w:bdr w:val="none" w:color="auto" w:sz="0" w:space="0"/>
                <w:lang w:val="en-US" w:eastAsia="zh-CN" w:bidi="ar"/>
              </w:rPr>
              <w:t>盒</w:t>
            </w:r>
            <w:r>
              <w:rPr>
                <w:rFonts w:ascii="Segoe UI" w:hAnsi="Segoe UI" w:eastAsia="Segoe UI" w:cs="Segoe UI"/>
                <w:i w:val="0"/>
                <w:color w:val="0F1115"/>
                <w:kern w:val="0"/>
                <w:sz w:val="23"/>
                <w:szCs w:val="23"/>
                <w:u w:val="none"/>
                <w:bdr w:val="none" w:color="auto" w:sz="0" w:space="0"/>
                <w:lang w:val="en-US" w:eastAsia="zh-CN" w:bidi="ar"/>
              </w:rPr>
              <w:t>/</w:t>
            </w:r>
            <w:r>
              <w:rPr>
                <w:rFonts w:hint="eastAsia" w:ascii="宋体" w:hAnsi="宋体" w:eastAsia="宋体" w:cs="宋体"/>
                <w:i w:val="0"/>
                <w:color w:val="0F1115"/>
                <w:kern w:val="0"/>
                <w:sz w:val="23"/>
                <w:szCs w:val="23"/>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4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果胶酶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F1115"/>
                <w:kern w:val="0"/>
                <w:sz w:val="23"/>
                <w:szCs w:val="23"/>
                <w:u w:val="none"/>
                <w:bdr w:val="none" w:color="auto" w:sz="0" w:space="0"/>
                <w:lang w:val="en-US" w:eastAsia="zh-CN" w:bidi="ar"/>
              </w:rPr>
              <w:t>食品级，酶活力</w:t>
            </w:r>
            <w:r>
              <w:rPr>
                <w:rFonts w:ascii="Segoe UI" w:hAnsi="Segoe UI" w:eastAsia="Segoe UI" w:cs="Segoe UI"/>
                <w:i w:val="0"/>
                <w:color w:val="0F1115"/>
                <w:kern w:val="0"/>
                <w:sz w:val="23"/>
                <w:szCs w:val="23"/>
                <w:u w:val="none"/>
                <w:bdr w:val="none" w:color="auto" w:sz="0" w:space="0"/>
                <w:lang w:val="en-US" w:eastAsia="zh-CN" w:bidi="ar"/>
              </w:rPr>
              <w:t>≥10000 U/g</w:t>
            </w:r>
            <w:r>
              <w:rPr>
                <w:rFonts w:hint="eastAsia" w:ascii="宋体" w:hAnsi="宋体" w:eastAsia="宋体" w:cs="宋体"/>
                <w:i w:val="0"/>
                <w:color w:val="0F1115"/>
                <w:kern w:val="0"/>
                <w:sz w:val="23"/>
                <w:szCs w:val="23"/>
                <w:u w:val="none"/>
                <w:bdr w:val="none" w:color="auto" w:sz="0" w:space="0"/>
                <w:lang w:val="en-US" w:eastAsia="zh-CN" w:bidi="ar"/>
              </w:rPr>
              <w:t>，用于果汁酶解澄清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玻璃漏斗</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普通玻璃，直径90mm，管长90mm，用于过滤</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410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定性滤纸</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快速或中速，直径12.5cm，100张/盒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2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411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塑料饮料瓶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F1115"/>
                <w:kern w:val="0"/>
                <w:sz w:val="23"/>
                <w:szCs w:val="23"/>
                <w:u w:val="none"/>
                <w:bdr w:val="none" w:color="auto" w:sz="0" w:space="0"/>
                <w:lang w:val="en-US" w:eastAsia="zh-CN" w:bidi="ar"/>
              </w:rPr>
              <w:t>带旋盖，容量≥</w:t>
            </w:r>
            <w:r>
              <w:rPr>
                <w:rFonts w:ascii="Segoe UI" w:hAnsi="Segoe UI" w:eastAsia="Segoe UI" w:cs="Segoe UI"/>
                <w:i w:val="0"/>
                <w:color w:val="0F1115"/>
                <w:kern w:val="0"/>
                <w:sz w:val="23"/>
                <w:szCs w:val="23"/>
                <w:u w:val="none"/>
                <w:bdr w:val="none" w:color="auto" w:sz="0" w:space="0"/>
                <w:lang w:val="en-US" w:eastAsia="zh-CN" w:bidi="ar"/>
              </w:rPr>
              <w:t>250mL</w:t>
            </w:r>
            <w:r>
              <w:rPr>
                <w:rFonts w:hint="eastAsia" w:ascii="宋体" w:hAnsi="宋体" w:eastAsia="宋体" w:cs="宋体"/>
                <w:i w:val="0"/>
                <w:color w:val="0F1115"/>
                <w:kern w:val="0"/>
                <w:sz w:val="23"/>
                <w:szCs w:val="23"/>
                <w:u w:val="none"/>
                <w:bdr w:val="none" w:color="auto" w:sz="0" w:space="0"/>
                <w:lang w:val="en-US" w:eastAsia="zh-CN" w:bidi="ar"/>
              </w:rPr>
              <w:t>，用于保存果汁</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450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4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412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泡菜坛</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F1115"/>
                <w:kern w:val="0"/>
                <w:sz w:val="23"/>
                <w:szCs w:val="23"/>
                <w:u w:val="none"/>
                <w:bdr w:val="none" w:color="auto" w:sz="0" w:space="0"/>
                <w:lang w:val="en-US" w:eastAsia="zh-CN" w:bidi="ar"/>
              </w:rPr>
              <w:t>陶瓷</w:t>
            </w:r>
            <w:r>
              <w:rPr>
                <w:rFonts w:ascii="Segoe UI" w:hAnsi="Segoe UI" w:eastAsia="Segoe UI" w:cs="Segoe UI"/>
                <w:i w:val="0"/>
                <w:color w:val="0F1115"/>
                <w:kern w:val="0"/>
                <w:sz w:val="23"/>
                <w:szCs w:val="23"/>
                <w:u w:val="none"/>
                <w:bdr w:val="none" w:color="auto" w:sz="0" w:space="0"/>
                <w:lang w:val="en-US" w:eastAsia="zh-CN" w:bidi="ar"/>
              </w:rPr>
              <w:t>/</w:t>
            </w:r>
            <w:r>
              <w:rPr>
                <w:rFonts w:hint="eastAsia" w:ascii="宋体" w:hAnsi="宋体" w:eastAsia="宋体" w:cs="宋体"/>
                <w:i w:val="0"/>
                <w:color w:val="0F1115"/>
                <w:kern w:val="0"/>
                <w:sz w:val="23"/>
                <w:szCs w:val="23"/>
                <w:u w:val="none"/>
                <w:bdr w:val="none" w:color="auto" w:sz="0" w:space="0"/>
                <w:lang w:val="en-US" w:eastAsia="zh-CN" w:bidi="ar"/>
              </w:rPr>
              <w:t>土陶，坛口带水槽密封，容量大于等于</w:t>
            </w:r>
            <w:r>
              <w:rPr>
                <w:rFonts w:ascii="Segoe UI" w:hAnsi="Segoe UI" w:eastAsia="Segoe UI" w:cs="Segoe UI"/>
                <w:i w:val="0"/>
                <w:color w:val="0F1115"/>
                <w:kern w:val="0"/>
                <w:sz w:val="23"/>
                <w:szCs w:val="23"/>
                <w:u w:val="none"/>
                <w:bdr w:val="none" w:color="auto" w:sz="0" w:space="0"/>
                <w:lang w:val="en-US" w:eastAsia="zh-CN" w:bidi="ar"/>
              </w:rPr>
              <w:t>10L</w:t>
            </w:r>
            <w:r>
              <w:rPr>
                <w:rFonts w:hint="eastAsia" w:ascii="宋体" w:hAnsi="宋体" w:eastAsia="宋体" w:cs="宋体"/>
                <w:i w:val="0"/>
                <w:color w:val="0F1115"/>
                <w:kern w:val="0"/>
                <w:sz w:val="23"/>
                <w:szCs w:val="23"/>
                <w:u w:val="none"/>
                <w:bdr w:val="none" w:color="auto" w:sz="0" w:space="0"/>
                <w:lang w:val="en-US" w:eastAsia="zh-CN" w:bidi="ar"/>
              </w:rPr>
              <w:t>，釉面光滑</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413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亚硝酸盐检测试纸</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半定量，检测范围0-20mg/kg，比色卡对照，20条/盒</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盒</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414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食盐</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食品级，精制盐，氯化钠含量≥98.5%，无碘或低碘</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8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415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小米辣泡椒</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≥1000g每袋</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袋</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6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416</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果胶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食品级，高甲氧基果胶，凝胶强度≥150度，用作增稠剂和胶凝剂</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4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417</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玻璃罐头瓶</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F1115"/>
                <w:kern w:val="0"/>
                <w:sz w:val="23"/>
                <w:szCs w:val="23"/>
                <w:u w:val="none"/>
                <w:bdr w:val="none" w:color="auto" w:sz="0" w:space="0"/>
                <w:lang w:val="en-US" w:eastAsia="zh-CN" w:bidi="ar"/>
              </w:rPr>
              <w:t>带旋盖，容量</w:t>
            </w:r>
            <w:r>
              <w:rPr>
                <w:rFonts w:ascii="Segoe UI" w:hAnsi="Segoe UI" w:eastAsia="Segoe UI" w:cs="Segoe UI"/>
                <w:i w:val="0"/>
                <w:color w:val="0F1115"/>
                <w:kern w:val="0"/>
                <w:sz w:val="23"/>
                <w:szCs w:val="23"/>
                <w:u w:val="none"/>
                <w:bdr w:val="none" w:color="auto" w:sz="0" w:space="0"/>
                <w:lang w:val="en-US" w:eastAsia="zh-CN" w:bidi="ar"/>
              </w:rPr>
              <w:t>100-125mL</w:t>
            </w:r>
            <w:r>
              <w:rPr>
                <w:rFonts w:hint="eastAsia" w:ascii="宋体" w:hAnsi="宋体" w:eastAsia="宋体" w:cs="宋体"/>
                <w:i w:val="0"/>
                <w:color w:val="0F1115"/>
                <w:kern w:val="0"/>
                <w:sz w:val="23"/>
                <w:szCs w:val="23"/>
                <w:u w:val="none"/>
                <w:bdr w:val="none" w:color="auto" w:sz="0" w:space="0"/>
                <w:lang w:val="en-US" w:eastAsia="zh-CN" w:bidi="ar"/>
              </w:rPr>
              <w:t>，高硼硅玻璃，耐热</w:t>
            </w:r>
            <w:r>
              <w:rPr>
                <w:rFonts w:ascii="Segoe UI" w:hAnsi="Segoe UI" w:eastAsia="Segoe UI" w:cs="Segoe UI"/>
                <w:i w:val="0"/>
                <w:color w:val="0F1115"/>
                <w:kern w:val="0"/>
                <w:sz w:val="23"/>
                <w:szCs w:val="23"/>
                <w:u w:val="none"/>
                <w:bdr w:val="none" w:color="auto" w:sz="0" w:space="0"/>
                <w:lang w:val="en-US" w:eastAsia="zh-CN" w:bidi="ar"/>
              </w:rPr>
              <w:t>≥120</w:t>
            </w:r>
            <w:r>
              <w:rPr>
                <w:rFonts w:hint="eastAsia" w:ascii="宋体" w:hAnsi="宋体" w:eastAsia="宋体" w:cs="宋体"/>
                <w:i w:val="0"/>
                <w:color w:val="0F1115"/>
                <w:kern w:val="0"/>
                <w:sz w:val="23"/>
                <w:szCs w:val="23"/>
                <w:u w:val="none"/>
                <w:bdr w:val="none" w:color="auto" w:sz="0" w:space="0"/>
                <w:lang w:val="en-US" w:eastAsia="zh-CN" w:bidi="ar"/>
              </w:rPr>
              <w:t>℃</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418</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温度计</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食品级不锈钢探针式，量程-50~300℃，精度±1℃</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48"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419</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山楂干</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F1115"/>
                <w:kern w:val="0"/>
                <w:sz w:val="23"/>
                <w:szCs w:val="23"/>
                <w:u w:val="none"/>
                <w:bdr w:val="none" w:color="auto" w:sz="0" w:space="0"/>
                <w:lang w:val="en-US" w:eastAsia="zh-CN" w:bidi="ar"/>
              </w:rPr>
              <w:t>新鲜，大小均匀，无病虫伤害和机械伤，单果重约</w:t>
            </w:r>
            <w:r>
              <w:rPr>
                <w:rFonts w:ascii="Segoe UI" w:hAnsi="Segoe UI" w:eastAsia="Segoe UI" w:cs="Segoe UI"/>
                <w:i w:val="0"/>
                <w:color w:val="0F1115"/>
                <w:kern w:val="0"/>
                <w:sz w:val="23"/>
                <w:szCs w:val="23"/>
                <w:u w:val="none"/>
                <w:bdr w:val="none" w:color="auto" w:sz="0" w:space="0"/>
                <w:lang w:val="en-US" w:eastAsia="zh-CN" w:bidi="ar"/>
              </w:rPr>
              <w:t>20-50g</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kg</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24"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420</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亚硫酸氢钠</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F1115"/>
                <w:kern w:val="0"/>
                <w:sz w:val="23"/>
                <w:szCs w:val="23"/>
                <w:u w:val="none"/>
                <w:bdr w:val="none" w:color="auto" w:sz="0" w:space="0"/>
                <w:lang w:val="en-US" w:eastAsia="zh-CN" w:bidi="ar"/>
              </w:rPr>
              <w:t>食品级，含量</w:t>
            </w:r>
            <w:r>
              <w:rPr>
                <w:rFonts w:ascii="Segoe UI" w:hAnsi="Segoe UI" w:eastAsia="Segoe UI" w:cs="Segoe UI"/>
                <w:i w:val="0"/>
                <w:color w:val="0F1115"/>
                <w:kern w:val="0"/>
                <w:sz w:val="23"/>
                <w:szCs w:val="23"/>
                <w:u w:val="none"/>
                <w:bdr w:val="none" w:color="auto" w:sz="0" w:space="0"/>
                <w:lang w:val="en-US" w:eastAsia="zh-CN" w:bidi="ar"/>
              </w:rPr>
              <w:t>≥99.0%</w:t>
            </w:r>
            <w:r>
              <w:rPr>
                <w:rFonts w:hint="eastAsia" w:ascii="宋体" w:hAnsi="宋体" w:eastAsia="宋体" w:cs="宋体"/>
                <w:i w:val="0"/>
                <w:color w:val="0F1115"/>
                <w:kern w:val="0"/>
                <w:sz w:val="23"/>
                <w:szCs w:val="23"/>
                <w:u w:val="none"/>
                <w:bdr w:val="none" w:color="auto" w:sz="0" w:space="0"/>
                <w:lang w:val="en-US" w:eastAsia="zh-CN" w:bidi="ar"/>
              </w:rPr>
              <w:t>，用作护色剂。500g/瓶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瓶</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572"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421</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透明食品级真空包装袋</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ascii="Segoe UI" w:hAnsi="Segoe UI" w:eastAsia="Segoe UI" w:cs="Segoe UI"/>
                <w:i w:val="0"/>
                <w:color w:val="0F1115"/>
                <w:kern w:val="0"/>
                <w:sz w:val="23"/>
                <w:szCs w:val="23"/>
                <w:u w:val="none"/>
                <w:bdr w:val="none" w:color="auto" w:sz="0" w:space="0"/>
                <w:lang w:val="en-US" w:eastAsia="zh-CN" w:bidi="ar"/>
              </w:rPr>
              <w:t>PA/PE</w:t>
            </w:r>
            <w:r>
              <w:rPr>
                <w:rFonts w:hint="eastAsia" w:ascii="宋体" w:hAnsi="宋体" w:eastAsia="宋体" w:cs="宋体"/>
                <w:i w:val="0"/>
                <w:color w:val="0F1115"/>
                <w:kern w:val="0"/>
                <w:sz w:val="23"/>
                <w:szCs w:val="23"/>
                <w:u w:val="none"/>
                <w:bdr w:val="none" w:color="auto" w:sz="0" w:space="0"/>
                <w:lang w:val="en-US" w:eastAsia="zh-CN" w:bidi="ar"/>
              </w:rPr>
              <w:t>复合材质，透明，食品级新料。尺寸约</w:t>
            </w:r>
            <w:r>
              <w:rPr>
                <w:rFonts w:ascii="Segoe UI" w:hAnsi="Segoe UI" w:eastAsia="Segoe UI" w:cs="Segoe UI"/>
                <w:i w:val="0"/>
                <w:color w:val="0F1115"/>
                <w:kern w:val="0"/>
                <w:sz w:val="23"/>
                <w:szCs w:val="23"/>
                <w:u w:val="none"/>
                <w:bdr w:val="none" w:color="auto" w:sz="0" w:space="0"/>
                <w:lang w:val="en-US" w:eastAsia="zh-CN" w:bidi="ar"/>
              </w:rPr>
              <w:t>32×45cm</w:t>
            </w:r>
            <w:r>
              <w:rPr>
                <w:rFonts w:hint="eastAsia" w:ascii="宋体" w:hAnsi="宋体" w:eastAsia="宋体" w:cs="宋体"/>
                <w:i w:val="0"/>
                <w:color w:val="0F1115"/>
                <w:kern w:val="0"/>
                <w:sz w:val="23"/>
                <w:szCs w:val="23"/>
                <w:u w:val="none"/>
                <w:bdr w:val="none" w:color="auto" w:sz="0" w:space="0"/>
                <w:lang w:val="en-US" w:eastAsia="zh-CN" w:bidi="ar"/>
              </w:rPr>
              <w:t>，双面厚度</w:t>
            </w:r>
            <w:r>
              <w:rPr>
                <w:rFonts w:ascii="Segoe UI" w:hAnsi="Segoe UI" w:eastAsia="Segoe UI" w:cs="Segoe UI"/>
                <w:i w:val="0"/>
                <w:color w:val="0F1115"/>
                <w:kern w:val="0"/>
                <w:sz w:val="23"/>
                <w:szCs w:val="23"/>
                <w:u w:val="none"/>
                <w:bdr w:val="none" w:color="auto" w:sz="0" w:space="0"/>
                <w:lang w:val="en-US" w:eastAsia="zh-CN" w:bidi="ar"/>
              </w:rPr>
              <w:t>20</w:t>
            </w:r>
            <w:r>
              <w:rPr>
                <w:rFonts w:hint="eastAsia" w:ascii="宋体" w:hAnsi="宋体" w:eastAsia="宋体" w:cs="宋体"/>
                <w:i w:val="0"/>
                <w:color w:val="0F1115"/>
                <w:kern w:val="0"/>
                <w:sz w:val="23"/>
                <w:szCs w:val="23"/>
                <w:u w:val="none"/>
                <w:bdr w:val="none" w:color="auto" w:sz="0" w:space="0"/>
                <w:lang w:val="en-US" w:eastAsia="zh-CN" w:bidi="ar"/>
              </w:rPr>
              <w:t>丝，适用于较大体积或多量样品。</w:t>
            </w:r>
            <w:r>
              <w:rPr>
                <w:rFonts w:ascii="Segoe UI" w:hAnsi="Segoe UI" w:eastAsia="Segoe UI" w:cs="Segoe UI"/>
                <w:i w:val="0"/>
                <w:color w:val="0F1115"/>
                <w:kern w:val="0"/>
                <w:sz w:val="23"/>
                <w:szCs w:val="23"/>
                <w:u w:val="none"/>
                <w:bdr w:val="none" w:color="auto" w:sz="0" w:space="0"/>
                <w:lang w:val="en-US" w:eastAsia="zh-CN" w:bidi="ar"/>
              </w:rPr>
              <w:t>100</w:t>
            </w:r>
            <w:r>
              <w:rPr>
                <w:rFonts w:hint="eastAsia" w:ascii="宋体" w:hAnsi="宋体" w:eastAsia="宋体" w:cs="宋体"/>
                <w:i w:val="0"/>
                <w:color w:val="0F1115"/>
                <w:kern w:val="0"/>
                <w:sz w:val="23"/>
                <w:szCs w:val="23"/>
                <w:u w:val="none"/>
                <w:bdr w:val="none" w:color="auto" w:sz="0" w:space="0"/>
                <w:lang w:val="en-US" w:eastAsia="zh-CN" w:bidi="ar"/>
              </w:rPr>
              <w:t>个</w:t>
            </w:r>
            <w:r>
              <w:rPr>
                <w:rFonts w:ascii="Segoe UI" w:hAnsi="Segoe UI" w:eastAsia="Segoe UI" w:cs="Segoe UI"/>
                <w:i w:val="0"/>
                <w:color w:val="0F1115"/>
                <w:kern w:val="0"/>
                <w:sz w:val="23"/>
                <w:szCs w:val="23"/>
                <w:u w:val="none"/>
                <w:bdr w:val="none" w:color="auto" w:sz="0" w:space="0"/>
                <w:lang w:val="en-US" w:eastAsia="zh-CN" w:bidi="ar"/>
              </w:rPr>
              <w:t>/</w:t>
            </w:r>
            <w:r>
              <w:rPr>
                <w:rFonts w:hint="eastAsia" w:ascii="宋体" w:hAnsi="宋体" w:eastAsia="宋体" w:cs="宋体"/>
                <w:i w:val="0"/>
                <w:color w:val="0F1115"/>
                <w:kern w:val="0"/>
                <w:sz w:val="23"/>
                <w:szCs w:val="23"/>
                <w:u w:val="none"/>
                <w:bdr w:val="none" w:color="auto" w:sz="0" w:space="0"/>
                <w:lang w:val="en-US" w:eastAsia="zh-CN" w:bidi="ar"/>
              </w:rPr>
              <w:t>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440"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422</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透明食品级真空包装袋</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PA/PE复合材质，透明，食品级新料。尺寸约20×30cm，双面厚度20丝（单面10丝），适用于中小型果蔬、干制品。100个/包</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包</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423</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绿幕</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120*180抠像背景板（蓝绿）+2米T型背景架</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424</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直播散热器</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双核超频制冷/三档数显送转接头</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个</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6" w:hRule="atLeast"/>
        </w:trPr>
        <w:tc>
          <w:tcPr>
            <w:tcW w:w="72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425</w:t>
            </w:r>
          </w:p>
        </w:tc>
        <w:tc>
          <w:tcPr>
            <w:tcW w:w="21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麦克风</w:t>
            </w:r>
          </w:p>
        </w:tc>
        <w:tc>
          <w:tcPr>
            <w:tcW w:w="39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纽扣无线领夹式降噪无线双麦麦克风</w:t>
            </w:r>
          </w:p>
        </w:tc>
        <w:tc>
          <w:tcPr>
            <w:tcW w:w="9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套</w:t>
            </w:r>
          </w:p>
        </w:tc>
        <w:tc>
          <w:tcPr>
            <w:tcW w:w="74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64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c>
          <w:tcPr>
            <w:tcW w:w="756"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90" w:hRule="atLeast"/>
        </w:trPr>
        <w:tc>
          <w:tcPr>
            <w:tcW w:w="10692" w:type="dxa"/>
            <w:gridSpan w:val="8"/>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合计：小写：       元（大写：                               ）</w:t>
            </w:r>
          </w:p>
        </w:tc>
      </w:tr>
    </w:tbl>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lang w:val="en-US" w:eastAsia="zh-CN"/>
        </w:rPr>
      </w:pPr>
    </w:p>
    <w:sectPr>
      <w:headerReference r:id="rId3" w:type="default"/>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modern"/>
    <w:pitch w:val="default"/>
    <w:sig w:usb0="A00002FF" w:usb1="28CFFCFA" w:usb2="00000016" w:usb3="00000000" w:csb0="00100001" w:csb1="00000000"/>
  </w:font>
  <w:font w:name="Segoe UI">
    <w:panose1 w:val="020B0502040204020203"/>
    <w:charset w:val="00"/>
    <w:family w:val="swiss"/>
    <w:pitch w:val="default"/>
    <w:sig w:usb0="E10022FF" w:usb1="C000E47F" w:usb2="00000029" w:usb3="00000000" w:csb0="200001DF" w:csb1="20000000"/>
  </w:font>
  <w:font w:name="仿宋_GB2312">
    <w:altName w:val="仿宋"/>
    <w:panose1 w:val="02010609030101010101"/>
    <w:charset w:val="86"/>
    <w:family w:val="modern"/>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0"/>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23BD3CE"/>
    <w:multiLevelType w:val="singleLevel"/>
    <w:tmpl w:val="C23BD3CE"/>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MTRmOTU4Y2E2MTZlMTJjMGZlNTE3YTZjOWNiOTcifQ=="/>
  </w:docVars>
  <w:rsids>
    <w:rsidRoot w:val="00172A27"/>
    <w:rsid w:val="00017A2A"/>
    <w:rsid w:val="00030B49"/>
    <w:rsid w:val="000453DB"/>
    <w:rsid w:val="00056BCB"/>
    <w:rsid w:val="000575DA"/>
    <w:rsid w:val="00080A1F"/>
    <w:rsid w:val="000B58CC"/>
    <w:rsid w:val="000C0EF6"/>
    <w:rsid w:val="000F36C7"/>
    <w:rsid w:val="000F5A98"/>
    <w:rsid w:val="00105910"/>
    <w:rsid w:val="001100C5"/>
    <w:rsid w:val="00125A09"/>
    <w:rsid w:val="00144DED"/>
    <w:rsid w:val="001603D4"/>
    <w:rsid w:val="00180608"/>
    <w:rsid w:val="001A6BFF"/>
    <w:rsid w:val="001B3C37"/>
    <w:rsid w:val="001D30ED"/>
    <w:rsid w:val="001E0164"/>
    <w:rsid w:val="001E41A5"/>
    <w:rsid w:val="00210941"/>
    <w:rsid w:val="00222990"/>
    <w:rsid w:val="00224510"/>
    <w:rsid w:val="003311B6"/>
    <w:rsid w:val="00332553"/>
    <w:rsid w:val="00364831"/>
    <w:rsid w:val="00373767"/>
    <w:rsid w:val="00373DF8"/>
    <w:rsid w:val="00384FAF"/>
    <w:rsid w:val="0038717C"/>
    <w:rsid w:val="003A11ED"/>
    <w:rsid w:val="003A2273"/>
    <w:rsid w:val="003B2BAF"/>
    <w:rsid w:val="003C7434"/>
    <w:rsid w:val="003F6309"/>
    <w:rsid w:val="00402610"/>
    <w:rsid w:val="0043404B"/>
    <w:rsid w:val="004671B9"/>
    <w:rsid w:val="00473422"/>
    <w:rsid w:val="00481962"/>
    <w:rsid w:val="00482E27"/>
    <w:rsid w:val="004924AA"/>
    <w:rsid w:val="004925B5"/>
    <w:rsid w:val="00494220"/>
    <w:rsid w:val="004B2FAC"/>
    <w:rsid w:val="004C7CE3"/>
    <w:rsid w:val="00525742"/>
    <w:rsid w:val="00542E36"/>
    <w:rsid w:val="00545E92"/>
    <w:rsid w:val="00584AB4"/>
    <w:rsid w:val="005978FF"/>
    <w:rsid w:val="005A1189"/>
    <w:rsid w:val="005A3D51"/>
    <w:rsid w:val="005C16AF"/>
    <w:rsid w:val="005D6743"/>
    <w:rsid w:val="005E6CB9"/>
    <w:rsid w:val="005F46C2"/>
    <w:rsid w:val="006170DA"/>
    <w:rsid w:val="00642F5F"/>
    <w:rsid w:val="006747E7"/>
    <w:rsid w:val="006A4969"/>
    <w:rsid w:val="00717024"/>
    <w:rsid w:val="00740B73"/>
    <w:rsid w:val="007625BA"/>
    <w:rsid w:val="00780DD7"/>
    <w:rsid w:val="007B1857"/>
    <w:rsid w:val="007C175D"/>
    <w:rsid w:val="007C49F2"/>
    <w:rsid w:val="00802619"/>
    <w:rsid w:val="00842182"/>
    <w:rsid w:val="00871489"/>
    <w:rsid w:val="00880803"/>
    <w:rsid w:val="00887312"/>
    <w:rsid w:val="008932CD"/>
    <w:rsid w:val="008D6685"/>
    <w:rsid w:val="008F28F4"/>
    <w:rsid w:val="009344B4"/>
    <w:rsid w:val="00945D3B"/>
    <w:rsid w:val="009645C7"/>
    <w:rsid w:val="009A78D3"/>
    <w:rsid w:val="009B5D61"/>
    <w:rsid w:val="009D0739"/>
    <w:rsid w:val="00A450FC"/>
    <w:rsid w:val="00A54CDE"/>
    <w:rsid w:val="00A72837"/>
    <w:rsid w:val="00AB47DE"/>
    <w:rsid w:val="00AC50F9"/>
    <w:rsid w:val="00B075FD"/>
    <w:rsid w:val="00B261B3"/>
    <w:rsid w:val="00B423DE"/>
    <w:rsid w:val="00B57736"/>
    <w:rsid w:val="00B60CE2"/>
    <w:rsid w:val="00B61CE9"/>
    <w:rsid w:val="00B8154A"/>
    <w:rsid w:val="00BA67DC"/>
    <w:rsid w:val="00BB2298"/>
    <w:rsid w:val="00BD1941"/>
    <w:rsid w:val="00BD516F"/>
    <w:rsid w:val="00BE25B3"/>
    <w:rsid w:val="00C524F3"/>
    <w:rsid w:val="00C55D91"/>
    <w:rsid w:val="00C57B99"/>
    <w:rsid w:val="00C86180"/>
    <w:rsid w:val="00C94C83"/>
    <w:rsid w:val="00CB1135"/>
    <w:rsid w:val="00CD5112"/>
    <w:rsid w:val="00D0209A"/>
    <w:rsid w:val="00D1358D"/>
    <w:rsid w:val="00D43755"/>
    <w:rsid w:val="00D4619C"/>
    <w:rsid w:val="00D526C0"/>
    <w:rsid w:val="00D559C5"/>
    <w:rsid w:val="00D74941"/>
    <w:rsid w:val="00DD0B6F"/>
    <w:rsid w:val="00DE3399"/>
    <w:rsid w:val="00DE51EA"/>
    <w:rsid w:val="00DF53A1"/>
    <w:rsid w:val="00E069F2"/>
    <w:rsid w:val="00E1142D"/>
    <w:rsid w:val="00E243C5"/>
    <w:rsid w:val="00E334B6"/>
    <w:rsid w:val="00E42FDB"/>
    <w:rsid w:val="00E572D4"/>
    <w:rsid w:val="00E84103"/>
    <w:rsid w:val="00E91D0B"/>
    <w:rsid w:val="00EB7687"/>
    <w:rsid w:val="00F23092"/>
    <w:rsid w:val="00F31A2E"/>
    <w:rsid w:val="00F64D17"/>
    <w:rsid w:val="00FD06DF"/>
    <w:rsid w:val="00FF572E"/>
    <w:rsid w:val="01F947C1"/>
    <w:rsid w:val="037137FD"/>
    <w:rsid w:val="04904570"/>
    <w:rsid w:val="05036529"/>
    <w:rsid w:val="050E2ECE"/>
    <w:rsid w:val="051A55B3"/>
    <w:rsid w:val="06A27B74"/>
    <w:rsid w:val="07466AC9"/>
    <w:rsid w:val="07B34C14"/>
    <w:rsid w:val="07E5675F"/>
    <w:rsid w:val="080832CD"/>
    <w:rsid w:val="084531A0"/>
    <w:rsid w:val="084A68F4"/>
    <w:rsid w:val="084D532E"/>
    <w:rsid w:val="08BC4608"/>
    <w:rsid w:val="0A854A2B"/>
    <w:rsid w:val="0ABD57CC"/>
    <w:rsid w:val="0AE87F1A"/>
    <w:rsid w:val="0B59604C"/>
    <w:rsid w:val="0B831F9A"/>
    <w:rsid w:val="0C2D1C9E"/>
    <w:rsid w:val="0C8D7DF3"/>
    <w:rsid w:val="0CAB3131"/>
    <w:rsid w:val="0DF7766E"/>
    <w:rsid w:val="0E4112D9"/>
    <w:rsid w:val="0E737964"/>
    <w:rsid w:val="0E840851"/>
    <w:rsid w:val="0EC4295E"/>
    <w:rsid w:val="0EC6083C"/>
    <w:rsid w:val="0F681EA2"/>
    <w:rsid w:val="0FEA595D"/>
    <w:rsid w:val="10367A2C"/>
    <w:rsid w:val="10703A7C"/>
    <w:rsid w:val="112C6D93"/>
    <w:rsid w:val="12656004"/>
    <w:rsid w:val="13B16302"/>
    <w:rsid w:val="1403756B"/>
    <w:rsid w:val="14F31E7A"/>
    <w:rsid w:val="14FC2F9D"/>
    <w:rsid w:val="15562691"/>
    <w:rsid w:val="157848CA"/>
    <w:rsid w:val="160903E8"/>
    <w:rsid w:val="170462F8"/>
    <w:rsid w:val="17195864"/>
    <w:rsid w:val="17AE352F"/>
    <w:rsid w:val="18DF3200"/>
    <w:rsid w:val="193910E5"/>
    <w:rsid w:val="194112C0"/>
    <w:rsid w:val="195135D8"/>
    <w:rsid w:val="1A7D5684"/>
    <w:rsid w:val="1AC15311"/>
    <w:rsid w:val="1B134EC3"/>
    <w:rsid w:val="1C2C52C5"/>
    <w:rsid w:val="1CAD5CEA"/>
    <w:rsid w:val="1D113FA4"/>
    <w:rsid w:val="1D5B7B20"/>
    <w:rsid w:val="1E8F3ED4"/>
    <w:rsid w:val="1F2E312A"/>
    <w:rsid w:val="20371A9D"/>
    <w:rsid w:val="204E2284"/>
    <w:rsid w:val="20E76CAB"/>
    <w:rsid w:val="21394209"/>
    <w:rsid w:val="21EA0F6E"/>
    <w:rsid w:val="231C7821"/>
    <w:rsid w:val="237B095A"/>
    <w:rsid w:val="241C27E5"/>
    <w:rsid w:val="24DB4A8C"/>
    <w:rsid w:val="259E1B40"/>
    <w:rsid w:val="25A07E30"/>
    <w:rsid w:val="26D05631"/>
    <w:rsid w:val="26E23F50"/>
    <w:rsid w:val="27E20B06"/>
    <w:rsid w:val="27FC47B5"/>
    <w:rsid w:val="287E141C"/>
    <w:rsid w:val="28B8629B"/>
    <w:rsid w:val="28CD15BF"/>
    <w:rsid w:val="2A067046"/>
    <w:rsid w:val="2AB11F9F"/>
    <w:rsid w:val="2ACB3D96"/>
    <w:rsid w:val="2B813F30"/>
    <w:rsid w:val="2B9525BA"/>
    <w:rsid w:val="2BA47F84"/>
    <w:rsid w:val="2BA70D47"/>
    <w:rsid w:val="2BB72189"/>
    <w:rsid w:val="2BC20EB0"/>
    <w:rsid w:val="2BFA58CF"/>
    <w:rsid w:val="2C0D1342"/>
    <w:rsid w:val="2CE22C39"/>
    <w:rsid w:val="2CFC063C"/>
    <w:rsid w:val="2D0642A7"/>
    <w:rsid w:val="2D2674F0"/>
    <w:rsid w:val="2DEF43FE"/>
    <w:rsid w:val="2E4C334A"/>
    <w:rsid w:val="2E735FF0"/>
    <w:rsid w:val="2F3D4C69"/>
    <w:rsid w:val="2FD62398"/>
    <w:rsid w:val="30AF4379"/>
    <w:rsid w:val="30F77E7A"/>
    <w:rsid w:val="310A1609"/>
    <w:rsid w:val="313724A3"/>
    <w:rsid w:val="314A2369"/>
    <w:rsid w:val="314F75C7"/>
    <w:rsid w:val="31E71C02"/>
    <w:rsid w:val="31FA4D5D"/>
    <w:rsid w:val="32DD68D2"/>
    <w:rsid w:val="33266B77"/>
    <w:rsid w:val="336E46FF"/>
    <w:rsid w:val="339A2D55"/>
    <w:rsid w:val="33A610DA"/>
    <w:rsid w:val="352C0B45"/>
    <w:rsid w:val="35946AAA"/>
    <w:rsid w:val="36E11B91"/>
    <w:rsid w:val="36F0387E"/>
    <w:rsid w:val="370F1C04"/>
    <w:rsid w:val="3717002F"/>
    <w:rsid w:val="37344B40"/>
    <w:rsid w:val="376F22B9"/>
    <w:rsid w:val="37762B2D"/>
    <w:rsid w:val="37CC1338"/>
    <w:rsid w:val="38AC5308"/>
    <w:rsid w:val="390C744C"/>
    <w:rsid w:val="39FA3AED"/>
    <w:rsid w:val="3A486159"/>
    <w:rsid w:val="3AAC7696"/>
    <w:rsid w:val="3AE86BAC"/>
    <w:rsid w:val="3B4D6C4F"/>
    <w:rsid w:val="3BEA48CE"/>
    <w:rsid w:val="3C4D132D"/>
    <w:rsid w:val="3C7D054E"/>
    <w:rsid w:val="3CFC1165"/>
    <w:rsid w:val="3D015A8B"/>
    <w:rsid w:val="3D334134"/>
    <w:rsid w:val="3D415E88"/>
    <w:rsid w:val="3D756085"/>
    <w:rsid w:val="3EBB220E"/>
    <w:rsid w:val="3F291FD7"/>
    <w:rsid w:val="3F714EB4"/>
    <w:rsid w:val="3FE700DA"/>
    <w:rsid w:val="400F5387"/>
    <w:rsid w:val="409E6959"/>
    <w:rsid w:val="40E33CB6"/>
    <w:rsid w:val="40E672A8"/>
    <w:rsid w:val="41787E54"/>
    <w:rsid w:val="421B5AB1"/>
    <w:rsid w:val="42FA78AA"/>
    <w:rsid w:val="436A71FB"/>
    <w:rsid w:val="446A2A35"/>
    <w:rsid w:val="45472443"/>
    <w:rsid w:val="45726CAD"/>
    <w:rsid w:val="45E75B72"/>
    <w:rsid w:val="46787084"/>
    <w:rsid w:val="46F25FA8"/>
    <w:rsid w:val="472F74AE"/>
    <w:rsid w:val="4864384C"/>
    <w:rsid w:val="495C41CA"/>
    <w:rsid w:val="497154DF"/>
    <w:rsid w:val="49930CA0"/>
    <w:rsid w:val="4A364969"/>
    <w:rsid w:val="4B3710C6"/>
    <w:rsid w:val="4BE66F97"/>
    <w:rsid w:val="4C5338DC"/>
    <w:rsid w:val="4C661EAD"/>
    <w:rsid w:val="4C8E350F"/>
    <w:rsid w:val="4C967C71"/>
    <w:rsid w:val="4D143759"/>
    <w:rsid w:val="4DF14748"/>
    <w:rsid w:val="4FDA5DC0"/>
    <w:rsid w:val="511D7321"/>
    <w:rsid w:val="51C27140"/>
    <w:rsid w:val="52172637"/>
    <w:rsid w:val="521B665C"/>
    <w:rsid w:val="52DE7538"/>
    <w:rsid w:val="53D6057F"/>
    <w:rsid w:val="550E655A"/>
    <w:rsid w:val="55677B7D"/>
    <w:rsid w:val="55751482"/>
    <w:rsid w:val="55A44E60"/>
    <w:rsid w:val="55BE0C0A"/>
    <w:rsid w:val="563E56D8"/>
    <w:rsid w:val="56793777"/>
    <w:rsid w:val="56D23F20"/>
    <w:rsid w:val="57524BAD"/>
    <w:rsid w:val="57903AE2"/>
    <w:rsid w:val="58696FE1"/>
    <w:rsid w:val="586C4C62"/>
    <w:rsid w:val="58967865"/>
    <w:rsid w:val="58DB0E89"/>
    <w:rsid w:val="59FD5891"/>
    <w:rsid w:val="5A2D31D7"/>
    <w:rsid w:val="5A4001CD"/>
    <w:rsid w:val="5A827677"/>
    <w:rsid w:val="5B46758A"/>
    <w:rsid w:val="5B7E5A0A"/>
    <w:rsid w:val="5B8007D7"/>
    <w:rsid w:val="5CC37E03"/>
    <w:rsid w:val="5D3C6E24"/>
    <w:rsid w:val="5D565CCA"/>
    <w:rsid w:val="5DD93569"/>
    <w:rsid w:val="5DDE13DF"/>
    <w:rsid w:val="5DDF3E5F"/>
    <w:rsid w:val="5DEB0DD3"/>
    <w:rsid w:val="5ED66C02"/>
    <w:rsid w:val="5FBE0A6E"/>
    <w:rsid w:val="5FDF0124"/>
    <w:rsid w:val="60AE143D"/>
    <w:rsid w:val="61810A7F"/>
    <w:rsid w:val="61AA1436"/>
    <w:rsid w:val="62E969E6"/>
    <w:rsid w:val="62FA4553"/>
    <w:rsid w:val="635F6889"/>
    <w:rsid w:val="648A6BD3"/>
    <w:rsid w:val="652B354E"/>
    <w:rsid w:val="65E35666"/>
    <w:rsid w:val="65E41CEC"/>
    <w:rsid w:val="65FC1843"/>
    <w:rsid w:val="66F44F9A"/>
    <w:rsid w:val="6703567D"/>
    <w:rsid w:val="677F6F32"/>
    <w:rsid w:val="68242688"/>
    <w:rsid w:val="6873134A"/>
    <w:rsid w:val="68BF6EFA"/>
    <w:rsid w:val="68DF31E0"/>
    <w:rsid w:val="68F77EE8"/>
    <w:rsid w:val="6956703F"/>
    <w:rsid w:val="6A473E6C"/>
    <w:rsid w:val="6C3A4D28"/>
    <w:rsid w:val="6C476A65"/>
    <w:rsid w:val="6C7D51FB"/>
    <w:rsid w:val="6D1143E7"/>
    <w:rsid w:val="6D243D76"/>
    <w:rsid w:val="6EEB6630"/>
    <w:rsid w:val="70A70FB3"/>
    <w:rsid w:val="70EF3BC6"/>
    <w:rsid w:val="70FE0565"/>
    <w:rsid w:val="71065830"/>
    <w:rsid w:val="714025C6"/>
    <w:rsid w:val="717B04E2"/>
    <w:rsid w:val="72451486"/>
    <w:rsid w:val="726A3B6F"/>
    <w:rsid w:val="732168E9"/>
    <w:rsid w:val="739326B7"/>
    <w:rsid w:val="739864CD"/>
    <w:rsid w:val="73A1555E"/>
    <w:rsid w:val="73DC7DFF"/>
    <w:rsid w:val="73FD7548"/>
    <w:rsid w:val="74383190"/>
    <w:rsid w:val="747D4382"/>
    <w:rsid w:val="74EB34EA"/>
    <w:rsid w:val="75170C43"/>
    <w:rsid w:val="751747F8"/>
    <w:rsid w:val="752A0060"/>
    <w:rsid w:val="755161DC"/>
    <w:rsid w:val="75546E5B"/>
    <w:rsid w:val="7594657A"/>
    <w:rsid w:val="777F323F"/>
    <w:rsid w:val="78AA53A5"/>
    <w:rsid w:val="78B0277B"/>
    <w:rsid w:val="78FD1A99"/>
    <w:rsid w:val="79196E60"/>
    <w:rsid w:val="7A5A27EE"/>
    <w:rsid w:val="7ABA1344"/>
    <w:rsid w:val="7AE36DFF"/>
    <w:rsid w:val="7D225AFC"/>
    <w:rsid w:val="7D673CC8"/>
    <w:rsid w:val="7D740341"/>
    <w:rsid w:val="7DAC327C"/>
    <w:rsid w:val="7E480EBC"/>
    <w:rsid w:val="7E805276"/>
    <w:rsid w:val="7E83137B"/>
    <w:rsid w:val="7EE82894"/>
    <w:rsid w:val="7F084957"/>
    <w:rsid w:val="7F2D0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8"/>
    <w:qFormat/>
    <w:uiPriority w:val="9"/>
    <w:pPr>
      <w:keepNext/>
      <w:keepLines/>
      <w:spacing w:before="340" w:after="330" w:line="576" w:lineRule="auto"/>
      <w:outlineLvl w:val="0"/>
    </w:pPr>
    <w:rPr>
      <w:rFonts w:ascii="Times New Roman" w:hAnsi="Times New Roman" w:eastAsia="宋体" w:cs="Times New Roman"/>
      <w:b/>
      <w:kern w:val="44"/>
      <w:sz w:val="32"/>
      <w:szCs w:val="20"/>
    </w:rPr>
  </w:style>
  <w:style w:type="paragraph" w:styleId="4">
    <w:name w:val="heading 2"/>
    <w:basedOn w:val="1"/>
    <w:next w:val="1"/>
    <w:link w:val="74"/>
    <w:unhideWhenUsed/>
    <w:qFormat/>
    <w:uiPriority w:val="0"/>
    <w:pPr>
      <w:spacing w:line="360" w:lineRule="auto"/>
      <w:ind w:firstLine="480" w:firstLineChars="200"/>
      <w:outlineLvl w:val="1"/>
    </w:pPr>
    <w:rPr>
      <w:rFonts w:ascii="黑体" w:hAnsi="黑体" w:eastAsia="黑体" w:cs="Times New Roman"/>
      <w:sz w:val="32"/>
      <w:szCs w:val="24"/>
    </w:rPr>
  </w:style>
  <w:style w:type="paragraph" w:styleId="5">
    <w:name w:val="heading 3"/>
    <w:basedOn w:val="1"/>
    <w:next w:val="1"/>
    <w:link w:val="75"/>
    <w:semiHidden/>
    <w:unhideWhenUsed/>
    <w:qFormat/>
    <w:uiPriority w:val="9"/>
    <w:pPr>
      <w:keepNext/>
      <w:keepLines/>
      <w:spacing w:before="260" w:after="260" w:line="416" w:lineRule="auto"/>
      <w:outlineLvl w:val="2"/>
    </w:pPr>
    <w:rPr>
      <w:rFonts w:ascii="等线" w:hAnsi="等线" w:eastAsia="等线" w:cs="Times New Roman"/>
      <w:b/>
      <w:bCs/>
      <w:sz w:val="32"/>
      <w:szCs w:val="32"/>
    </w:rPr>
  </w:style>
  <w:style w:type="paragraph" w:styleId="6">
    <w:name w:val="heading 4"/>
    <w:basedOn w:val="1"/>
    <w:next w:val="1"/>
    <w:link w:val="76"/>
    <w:semiHidden/>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7">
    <w:name w:val="heading 5"/>
    <w:basedOn w:val="1"/>
    <w:next w:val="1"/>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character" w:default="1" w:styleId="22">
    <w:name w:val="Default Paragraph Font"/>
    <w:semiHidden/>
    <w:unhideWhenUsed/>
    <w:qFormat/>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78"/>
    <w:unhideWhenUsed/>
    <w:qFormat/>
    <w:uiPriority w:val="99"/>
    <w:pPr>
      <w:spacing w:after="120"/>
    </w:pPr>
    <w:rPr>
      <w:rFonts w:ascii="Times New Roman" w:hAnsi="Times New Roman" w:eastAsia="宋体" w:cs="Times New Roman"/>
      <w:sz w:val="28"/>
      <w:szCs w:val="20"/>
    </w:rPr>
  </w:style>
  <w:style w:type="paragraph" w:styleId="8">
    <w:name w:val="annotation subject"/>
    <w:basedOn w:val="9"/>
    <w:next w:val="9"/>
    <w:link w:val="91"/>
    <w:unhideWhenUsed/>
    <w:qFormat/>
    <w:uiPriority w:val="99"/>
    <w:rPr>
      <w:rFonts w:asciiTheme="minorHAnsi" w:hAnsiTheme="minorHAnsi" w:eastAsiaTheme="minorEastAsia" w:cstheme="minorBidi"/>
      <w:b/>
      <w:bCs/>
      <w:szCs w:val="22"/>
    </w:rPr>
  </w:style>
  <w:style w:type="paragraph" w:styleId="9">
    <w:name w:val="annotation text"/>
    <w:basedOn w:val="1"/>
    <w:link w:val="77"/>
    <w:qFormat/>
    <w:uiPriority w:val="99"/>
    <w:pPr>
      <w:jc w:val="left"/>
    </w:pPr>
    <w:rPr>
      <w:rFonts w:ascii="Calibri" w:hAnsi="Calibri" w:eastAsia="宋体" w:cs="Calibri"/>
      <w:szCs w:val="21"/>
    </w:rPr>
  </w:style>
  <w:style w:type="paragraph" w:styleId="10">
    <w:name w:val="Body Text First Indent"/>
    <w:basedOn w:val="2"/>
    <w:unhideWhenUsed/>
    <w:qFormat/>
    <w:uiPriority w:val="99"/>
    <w:pPr>
      <w:ind w:firstLine="420" w:firstLineChars="100"/>
    </w:pPr>
  </w:style>
  <w:style w:type="paragraph" w:styleId="11">
    <w:name w:val="Body Text Indent"/>
    <w:basedOn w:val="1"/>
    <w:link w:val="93"/>
    <w:qFormat/>
    <w:uiPriority w:val="0"/>
    <w:pPr>
      <w:spacing w:after="120"/>
      <w:ind w:left="420" w:leftChars="200"/>
    </w:pPr>
  </w:style>
  <w:style w:type="paragraph" w:styleId="12">
    <w:name w:val="toc 3"/>
    <w:basedOn w:val="1"/>
    <w:next w:val="1"/>
    <w:unhideWhenUsed/>
    <w:qFormat/>
    <w:uiPriority w:val="39"/>
    <w:pPr>
      <w:tabs>
        <w:tab w:val="right" w:leader="middleDot" w:pos="8720"/>
      </w:tabs>
      <w:spacing w:line="480" w:lineRule="exact"/>
    </w:pPr>
    <w:rPr>
      <w:rFonts w:ascii="等线" w:hAnsi="等线" w:eastAsia="等线" w:cs="Times New Roman"/>
    </w:rPr>
  </w:style>
  <w:style w:type="paragraph" w:styleId="13">
    <w:name w:val="Date"/>
    <w:basedOn w:val="1"/>
    <w:next w:val="1"/>
    <w:link w:val="41"/>
    <w:unhideWhenUsed/>
    <w:qFormat/>
    <w:uiPriority w:val="99"/>
    <w:pPr>
      <w:ind w:left="100" w:leftChars="2500"/>
    </w:pPr>
  </w:style>
  <w:style w:type="paragraph" w:styleId="14">
    <w:name w:val="Balloon Text"/>
    <w:basedOn w:val="1"/>
    <w:link w:val="47"/>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rPr>
      <w:rFonts w:ascii="等线" w:hAnsi="等线" w:eastAsia="等线" w:cs="Times New Roman"/>
    </w:rPr>
  </w:style>
  <w:style w:type="paragraph" w:styleId="18">
    <w:name w:val="toc 4"/>
    <w:basedOn w:val="1"/>
    <w:next w:val="1"/>
    <w:unhideWhenUsed/>
    <w:qFormat/>
    <w:uiPriority w:val="39"/>
    <w:pPr>
      <w:ind w:left="1260" w:leftChars="600"/>
    </w:pPr>
    <w:rPr>
      <w:rFonts w:ascii="等线" w:hAnsi="等线" w:eastAsia="等线" w:cs="Times New Roman"/>
    </w:rPr>
  </w:style>
  <w:style w:type="paragraph" w:styleId="19">
    <w:name w:val="toc 2"/>
    <w:basedOn w:val="1"/>
    <w:next w:val="1"/>
    <w:unhideWhenUsed/>
    <w:qFormat/>
    <w:uiPriority w:val="39"/>
    <w:pPr>
      <w:tabs>
        <w:tab w:val="right" w:leader="middleDot" w:pos="8720"/>
      </w:tabs>
      <w:spacing w:line="400" w:lineRule="exact"/>
      <w:ind w:left="420" w:leftChars="200"/>
    </w:pPr>
    <w:rPr>
      <w:rFonts w:ascii="等线" w:hAnsi="等线" w:eastAsia="等线" w:cs="Times New Roman"/>
    </w:r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qFormat/>
    <w:uiPriority w:val="10"/>
    <w:pPr>
      <w:spacing w:before="240" w:after="60"/>
      <w:jc w:val="center"/>
      <w:outlineLvl w:val="0"/>
    </w:pPr>
    <w:rPr>
      <w:rFonts w:ascii="Cambria" w:hAnsi="Cambria"/>
      <w:b/>
      <w:kern w:val="0"/>
      <w:sz w:val="32"/>
    </w:r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TML Definition"/>
    <w:basedOn w:val="22"/>
    <w:semiHidden/>
    <w:unhideWhenUsed/>
    <w:qFormat/>
    <w:uiPriority w:val="99"/>
    <w:rPr>
      <w:i/>
      <w:iCs/>
    </w:rPr>
  </w:style>
  <w:style w:type="character" w:styleId="26">
    <w:name w:val="HTML Acronym"/>
    <w:basedOn w:val="22"/>
    <w:semiHidden/>
    <w:unhideWhenUsed/>
    <w:qFormat/>
    <w:uiPriority w:val="99"/>
  </w:style>
  <w:style w:type="character" w:styleId="27">
    <w:name w:val="HTML Variable"/>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HTML Code"/>
    <w:basedOn w:val="22"/>
    <w:semiHidden/>
    <w:unhideWhenUsed/>
    <w:qFormat/>
    <w:uiPriority w:val="99"/>
    <w:rPr>
      <w:rFonts w:ascii="serif" w:hAnsi="serif" w:eastAsia="serif" w:cs="serif"/>
      <w:sz w:val="21"/>
      <w:szCs w:val="21"/>
    </w:rPr>
  </w:style>
  <w:style w:type="character" w:styleId="30">
    <w:name w:val="annotation reference"/>
    <w:basedOn w:val="22"/>
    <w:unhideWhenUsed/>
    <w:qFormat/>
    <w:uiPriority w:val="99"/>
    <w:rPr>
      <w:sz w:val="21"/>
      <w:szCs w:val="21"/>
    </w:rPr>
  </w:style>
  <w:style w:type="character" w:styleId="31">
    <w:name w:val="HTML Cite"/>
    <w:basedOn w:val="22"/>
    <w:semiHidden/>
    <w:unhideWhenUsed/>
    <w:qFormat/>
    <w:uiPriority w:val="99"/>
  </w:style>
  <w:style w:type="character" w:styleId="32">
    <w:name w:val="HTML Keyboard"/>
    <w:basedOn w:val="22"/>
    <w:semiHidden/>
    <w:unhideWhenUsed/>
    <w:qFormat/>
    <w:uiPriority w:val="99"/>
    <w:rPr>
      <w:rFonts w:hint="default" w:ascii="serif" w:hAnsi="serif" w:eastAsia="serif" w:cs="serif"/>
      <w:sz w:val="21"/>
      <w:szCs w:val="21"/>
    </w:rPr>
  </w:style>
  <w:style w:type="character" w:styleId="33">
    <w:name w:val="HTML Sample"/>
    <w:basedOn w:val="22"/>
    <w:semiHidden/>
    <w:unhideWhenUsed/>
    <w:qFormat/>
    <w:uiPriority w:val="99"/>
    <w:rPr>
      <w:rFonts w:hint="default" w:ascii="serif" w:hAnsi="serif" w:eastAsia="serif" w:cs="serif"/>
      <w:sz w:val="21"/>
      <w:szCs w:val="21"/>
    </w:rPr>
  </w:style>
  <w:style w:type="table" w:styleId="35">
    <w:name w:val="Table Grid"/>
    <w:basedOn w:val="34"/>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36">
    <w:name w:val="Default"/>
    <w:next w:val="37"/>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7">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8">
    <w:name w:val="首行缩进"/>
    <w:basedOn w:val="1"/>
    <w:qFormat/>
    <w:uiPriority w:val="0"/>
    <w:pPr>
      <w:spacing w:line="360" w:lineRule="auto"/>
      <w:ind w:firstLine="480" w:firstLineChars="200"/>
      <w:jc w:val="left"/>
    </w:pPr>
    <w:rPr>
      <w:rFonts w:ascii="宋体" w:hAnsi="宋体"/>
      <w:sz w:val="24"/>
    </w:rPr>
  </w:style>
  <w:style w:type="character" w:customStyle="1" w:styleId="39">
    <w:name w:val="页眉 Char"/>
    <w:basedOn w:val="22"/>
    <w:link w:val="16"/>
    <w:qFormat/>
    <w:uiPriority w:val="99"/>
    <w:rPr>
      <w:sz w:val="18"/>
      <w:szCs w:val="18"/>
    </w:rPr>
  </w:style>
  <w:style w:type="character" w:customStyle="1" w:styleId="40">
    <w:name w:val="页脚 Char"/>
    <w:basedOn w:val="22"/>
    <w:link w:val="15"/>
    <w:qFormat/>
    <w:uiPriority w:val="99"/>
    <w:rPr>
      <w:sz w:val="18"/>
      <w:szCs w:val="18"/>
    </w:rPr>
  </w:style>
  <w:style w:type="character" w:customStyle="1" w:styleId="41">
    <w:name w:val="日期 Char"/>
    <w:basedOn w:val="22"/>
    <w:link w:val="13"/>
    <w:qFormat/>
    <w:uiPriority w:val="99"/>
  </w:style>
  <w:style w:type="paragraph" w:styleId="4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表格"/>
    <w:basedOn w:val="1"/>
    <w:next w:val="1"/>
    <w:qFormat/>
    <w:uiPriority w:val="99"/>
    <w:pPr>
      <w:widowControl/>
      <w:jc w:val="center"/>
    </w:pPr>
    <w:rPr>
      <w:rFonts w:ascii="Calibri" w:hAnsi="Calibri" w:eastAsia="宋体" w:cs="黑体"/>
      <w:kern w:val="21"/>
      <w:szCs w:val="24"/>
    </w:rPr>
  </w:style>
  <w:style w:type="paragraph" w:customStyle="1" w:styleId="44">
    <w:name w:val="列出段落1"/>
    <w:basedOn w:val="1"/>
    <w:qFormat/>
    <w:uiPriority w:val="99"/>
    <w:pPr>
      <w:ind w:firstLine="420" w:firstLineChars="200"/>
    </w:pPr>
    <w:rPr>
      <w:rFonts w:ascii="Calibri" w:hAnsi="Calibri" w:eastAsia="宋体" w:cs="黑体"/>
    </w:rPr>
  </w:style>
  <w:style w:type="paragraph" w:customStyle="1" w:styleId="45">
    <w:name w:val="列出段落2"/>
    <w:basedOn w:val="1"/>
    <w:unhideWhenUsed/>
    <w:qFormat/>
    <w:uiPriority w:val="99"/>
    <w:pPr>
      <w:ind w:firstLine="420" w:firstLineChars="200"/>
    </w:pPr>
  </w:style>
  <w:style w:type="paragraph" w:customStyle="1" w:styleId="46">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批注框文本 Char"/>
    <w:basedOn w:val="22"/>
    <w:link w:val="14"/>
    <w:qFormat/>
    <w:uiPriority w:val="99"/>
    <w:rPr>
      <w:sz w:val="18"/>
      <w:szCs w:val="18"/>
    </w:rPr>
  </w:style>
  <w:style w:type="character" w:customStyle="1" w:styleId="48">
    <w:name w:val="标题 1 Char"/>
    <w:basedOn w:val="22"/>
    <w:link w:val="3"/>
    <w:qFormat/>
    <w:uiPriority w:val="9"/>
    <w:rPr>
      <w:rFonts w:ascii="Times New Roman" w:hAnsi="Times New Roman" w:eastAsia="宋体" w:cs="Times New Roman"/>
      <w:b/>
      <w:kern w:val="44"/>
      <w:sz w:val="32"/>
      <w:szCs w:val="20"/>
    </w:rPr>
  </w:style>
  <w:style w:type="paragraph" w:customStyle="1" w:styleId="49">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paragraph" w:customStyle="1" w:styleId="50">
    <w:name w:val="font5"/>
    <w:basedOn w:val="1"/>
    <w:qFormat/>
    <w:uiPriority w:val="0"/>
    <w:pPr>
      <w:widowControl/>
      <w:spacing w:before="100" w:beforeAutospacing="1" w:after="100" w:afterAutospacing="1"/>
      <w:jc w:val="left"/>
    </w:pPr>
    <w:rPr>
      <w:rFonts w:ascii="Calibri" w:hAnsi="Calibri" w:eastAsia="宋体" w:cs="宋体"/>
      <w:color w:val="000000"/>
      <w:kern w:val="0"/>
      <w:sz w:val="18"/>
      <w:szCs w:val="18"/>
    </w:rPr>
  </w:style>
  <w:style w:type="paragraph" w:customStyle="1" w:styleId="51">
    <w:name w:val="font6"/>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2">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3">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4">
    <w:name w:val="xl6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Cs w:val="21"/>
    </w:rPr>
  </w:style>
  <w:style w:type="paragraph" w:customStyle="1" w:styleId="55">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6">
    <w:name w:val="xl67"/>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57">
    <w:name w:val="xl68"/>
    <w:basedOn w:val="1"/>
    <w:qFormat/>
    <w:uiPriority w:val="0"/>
    <w:pPr>
      <w:widowControl/>
      <w:pBdr>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8">
    <w:name w:val="xl69"/>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59">
    <w:name w:val="xl7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0">
    <w:name w:val="xl71"/>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1">
    <w:name w:val="xl72"/>
    <w:basedOn w:val="1"/>
    <w:qFormat/>
    <w:uiPriority w:val="0"/>
    <w:pPr>
      <w:widowControl/>
      <w:pBdr>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2">
    <w:name w:val="xl7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3">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5">
    <w:name w:val="xl76"/>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6">
    <w:name w:val="xl7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7">
    <w:name w:val="xl78"/>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8">
    <w:name w:val="xl79"/>
    <w:basedOn w:val="1"/>
    <w:qFormat/>
    <w:uiPriority w:val="0"/>
    <w:pPr>
      <w:widowControl/>
      <w:pBdr>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9">
    <w:name w:val="xl8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0">
    <w:name w:val="xl81"/>
    <w:basedOn w:val="1"/>
    <w:qFormat/>
    <w:uiPriority w:val="0"/>
    <w:pPr>
      <w:widowControl/>
      <w:pBdr>
        <w:top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1">
    <w:name w:val="标题 1_0"/>
    <w:basedOn w:val="1"/>
    <w:next w:val="1"/>
    <w:link w:val="72"/>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customStyle="1" w:styleId="72">
    <w:name w:val="标题 1 Char_0"/>
    <w:link w:val="71"/>
    <w:qFormat/>
    <w:uiPriority w:val="9"/>
    <w:rPr>
      <w:rFonts w:ascii="Calibri" w:hAnsi="Calibri" w:eastAsia="宋体" w:cs="Times New Roman"/>
      <w:b/>
      <w:bCs/>
      <w:kern w:val="44"/>
      <w:sz w:val="44"/>
      <w:szCs w:val="44"/>
    </w:rPr>
  </w:style>
  <w:style w:type="paragraph" w:styleId="73">
    <w:name w:val="List Paragraph"/>
    <w:basedOn w:val="1"/>
    <w:qFormat/>
    <w:uiPriority w:val="1"/>
    <w:pPr>
      <w:ind w:firstLine="420" w:firstLineChars="200"/>
    </w:pPr>
    <w:rPr>
      <w:rFonts w:ascii="Times New Roman" w:hAnsi="Times New Roman" w:eastAsia="宋体" w:cs="Times New Roman"/>
      <w:szCs w:val="20"/>
    </w:rPr>
  </w:style>
  <w:style w:type="character" w:customStyle="1" w:styleId="74">
    <w:name w:val="标题 2 Char"/>
    <w:basedOn w:val="22"/>
    <w:link w:val="4"/>
    <w:qFormat/>
    <w:uiPriority w:val="0"/>
    <w:rPr>
      <w:rFonts w:ascii="黑体" w:hAnsi="黑体" w:eastAsia="黑体" w:cs="Times New Roman"/>
      <w:sz w:val="32"/>
      <w:szCs w:val="24"/>
    </w:rPr>
  </w:style>
  <w:style w:type="character" w:customStyle="1" w:styleId="75">
    <w:name w:val="标题 3 Char"/>
    <w:basedOn w:val="22"/>
    <w:link w:val="5"/>
    <w:semiHidden/>
    <w:qFormat/>
    <w:uiPriority w:val="9"/>
    <w:rPr>
      <w:rFonts w:ascii="等线" w:hAnsi="等线" w:eastAsia="等线" w:cs="Times New Roman"/>
      <w:b/>
      <w:bCs/>
      <w:sz w:val="32"/>
      <w:szCs w:val="32"/>
    </w:rPr>
  </w:style>
  <w:style w:type="character" w:customStyle="1" w:styleId="76">
    <w:name w:val="标题 4 Char"/>
    <w:basedOn w:val="22"/>
    <w:link w:val="6"/>
    <w:semiHidden/>
    <w:qFormat/>
    <w:uiPriority w:val="9"/>
    <w:rPr>
      <w:rFonts w:ascii="等线 Light" w:hAnsi="等线 Light" w:eastAsia="等线 Light" w:cs="Times New Roman"/>
      <w:b/>
      <w:bCs/>
      <w:sz w:val="28"/>
      <w:szCs w:val="28"/>
    </w:rPr>
  </w:style>
  <w:style w:type="character" w:customStyle="1" w:styleId="77">
    <w:name w:val="批注文字 Char"/>
    <w:basedOn w:val="22"/>
    <w:link w:val="9"/>
    <w:qFormat/>
    <w:uiPriority w:val="99"/>
    <w:rPr>
      <w:rFonts w:ascii="Calibri" w:hAnsi="Calibri" w:eastAsia="宋体" w:cs="Calibri"/>
      <w:szCs w:val="21"/>
    </w:rPr>
  </w:style>
  <w:style w:type="character" w:customStyle="1" w:styleId="78">
    <w:name w:val="正文文本 Char"/>
    <w:basedOn w:val="22"/>
    <w:link w:val="2"/>
    <w:qFormat/>
    <w:uiPriority w:val="99"/>
    <w:rPr>
      <w:rFonts w:ascii="Times New Roman" w:hAnsi="Times New Roman" w:eastAsia="宋体" w:cs="Times New Roman"/>
      <w:sz w:val="28"/>
      <w:szCs w:val="20"/>
    </w:rPr>
  </w:style>
  <w:style w:type="character" w:customStyle="1" w:styleId="79">
    <w:name w:val="正文文本_"/>
    <w:basedOn w:val="22"/>
    <w:link w:val="80"/>
    <w:qFormat/>
    <w:uiPriority w:val="0"/>
    <w:rPr>
      <w:rFonts w:ascii="MingLiU" w:hAnsi="MingLiU" w:eastAsia="MingLiU" w:cs="MingLiU"/>
      <w:spacing w:val="-20"/>
      <w:sz w:val="26"/>
      <w:szCs w:val="26"/>
      <w:shd w:val="clear" w:color="auto" w:fill="FFFFFF"/>
    </w:rPr>
  </w:style>
  <w:style w:type="paragraph" w:customStyle="1" w:styleId="80">
    <w:name w:val="正文文本1"/>
    <w:basedOn w:val="1"/>
    <w:link w:val="79"/>
    <w:qFormat/>
    <w:uiPriority w:val="0"/>
    <w:pPr>
      <w:shd w:val="clear" w:color="auto" w:fill="FFFFFF"/>
      <w:spacing w:line="554" w:lineRule="exact"/>
      <w:ind w:hanging="1720"/>
      <w:jc w:val="left"/>
    </w:pPr>
    <w:rPr>
      <w:rFonts w:ascii="MingLiU" w:hAnsi="MingLiU" w:eastAsia="MingLiU" w:cs="MingLiU"/>
      <w:spacing w:val="-20"/>
      <w:sz w:val="26"/>
      <w:szCs w:val="26"/>
    </w:rPr>
  </w:style>
  <w:style w:type="character" w:customStyle="1" w:styleId="81">
    <w:name w:val="正文文本 + Segoe UI"/>
    <w:basedOn w:val="79"/>
    <w:qFormat/>
    <w:uiPriority w:val="0"/>
    <w:rPr>
      <w:rFonts w:ascii="Segoe UI" w:hAnsi="Segoe UI" w:eastAsia="Segoe UI" w:cs="Segoe UI"/>
      <w:b/>
      <w:bCs/>
      <w:color w:val="000000"/>
      <w:spacing w:val="-10"/>
      <w:w w:val="100"/>
      <w:position w:val="0"/>
      <w:lang w:val="zh-CN" w:eastAsia="zh-CN" w:bidi="zh-CN"/>
    </w:rPr>
  </w:style>
  <w:style w:type="character" w:customStyle="1" w:styleId="82">
    <w:name w:val="标题 #1_"/>
    <w:basedOn w:val="22"/>
    <w:link w:val="83"/>
    <w:qFormat/>
    <w:uiPriority w:val="0"/>
    <w:rPr>
      <w:rFonts w:ascii="MingLiU" w:hAnsi="MingLiU" w:eastAsia="MingLiU" w:cs="MingLiU"/>
      <w:spacing w:val="-30"/>
      <w:sz w:val="46"/>
      <w:szCs w:val="46"/>
      <w:shd w:val="clear" w:color="auto" w:fill="FFFFFF"/>
    </w:rPr>
  </w:style>
  <w:style w:type="paragraph" w:customStyle="1" w:styleId="83">
    <w:name w:val="标题 #1"/>
    <w:basedOn w:val="1"/>
    <w:link w:val="82"/>
    <w:qFormat/>
    <w:uiPriority w:val="0"/>
    <w:pPr>
      <w:shd w:val="clear" w:color="auto" w:fill="FFFFFF"/>
      <w:spacing w:before="480" w:line="559" w:lineRule="exact"/>
      <w:jc w:val="center"/>
      <w:outlineLvl w:val="0"/>
    </w:pPr>
    <w:rPr>
      <w:rFonts w:ascii="MingLiU" w:hAnsi="MingLiU" w:eastAsia="MingLiU" w:cs="MingLiU"/>
      <w:spacing w:val="-30"/>
      <w:sz w:val="46"/>
      <w:szCs w:val="46"/>
    </w:rPr>
  </w:style>
  <w:style w:type="paragraph" w:customStyle="1" w:styleId="84">
    <w:name w:val="样式1"/>
    <w:basedOn w:val="73"/>
    <w:qFormat/>
    <w:uiPriority w:val="0"/>
    <w:pPr>
      <w:ind w:firstLine="0" w:firstLineChars="0"/>
      <w:jc w:val="left"/>
    </w:pPr>
    <w:rPr>
      <w:rFonts w:ascii="黑体" w:hAnsi="黑体" w:eastAsia="黑体"/>
      <w:b/>
      <w:bCs/>
      <w:sz w:val="32"/>
      <w:szCs w:val="32"/>
    </w:rPr>
  </w:style>
  <w:style w:type="paragraph" w:customStyle="1" w:styleId="85">
    <w:name w:val="样式2"/>
    <w:basedOn w:val="1"/>
    <w:qFormat/>
    <w:uiPriority w:val="0"/>
    <w:pPr>
      <w:spacing w:line="360" w:lineRule="auto"/>
      <w:ind w:firstLine="200" w:firstLineChars="200"/>
      <w:jc w:val="left"/>
    </w:pPr>
    <w:rPr>
      <w:rFonts w:ascii="等线" w:hAnsi="等线" w:eastAsia="黑体" w:cs="Times New Roman"/>
      <w:b/>
      <w:bCs/>
      <w:sz w:val="30"/>
      <w:szCs w:val="32"/>
    </w:rPr>
  </w:style>
  <w:style w:type="paragraph" w:customStyle="1" w:styleId="86">
    <w:name w:val="样式3"/>
    <w:basedOn w:val="1"/>
    <w:next w:val="1"/>
    <w:qFormat/>
    <w:uiPriority w:val="0"/>
    <w:pPr>
      <w:spacing w:line="360" w:lineRule="auto"/>
      <w:ind w:firstLine="200" w:firstLineChars="200"/>
    </w:pPr>
    <w:rPr>
      <w:rFonts w:ascii="等线" w:hAnsi="等线" w:eastAsia="宋体" w:cs="Times New Roman"/>
      <w:b/>
      <w:bCs/>
      <w:sz w:val="32"/>
      <w:szCs w:val="32"/>
    </w:rPr>
  </w:style>
  <w:style w:type="paragraph" w:customStyle="1" w:styleId="87">
    <w:name w:val="样式4"/>
    <w:basedOn w:val="1"/>
    <w:next w:val="1"/>
    <w:qFormat/>
    <w:uiPriority w:val="0"/>
    <w:pPr>
      <w:ind w:firstLine="602"/>
      <w:outlineLvl w:val="2"/>
    </w:pPr>
    <w:rPr>
      <w:rFonts w:ascii="宋体" w:hAnsi="宋体" w:eastAsia="宋体" w:cs="Times New Roman"/>
      <w:bCs/>
      <w:sz w:val="30"/>
      <w:szCs w:val="30"/>
    </w:rPr>
  </w:style>
  <w:style w:type="paragraph" w:customStyle="1" w:styleId="88">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89">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90">
    <w:name w:val="NormalCharacter"/>
    <w:qFormat/>
    <w:uiPriority w:val="0"/>
  </w:style>
  <w:style w:type="character" w:customStyle="1" w:styleId="91">
    <w:name w:val="批注主题 Char"/>
    <w:basedOn w:val="77"/>
    <w:link w:val="8"/>
    <w:qFormat/>
    <w:uiPriority w:val="99"/>
    <w:rPr>
      <w:b/>
      <w:bCs/>
    </w:rPr>
  </w:style>
  <w:style w:type="paragraph" w:customStyle="1" w:styleId="92">
    <w:name w:val="正文2"/>
    <w:basedOn w:val="11"/>
    <w:qFormat/>
    <w:uiPriority w:val="99"/>
    <w:pPr>
      <w:spacing w:after="0" w:line="480" w:lineRule="exact"/>
      <w:ind w:left="0" w:leftChars="0" w:firstLine="480" w:firstLineChars="200"/>
    </w:pPr>
    <w:rPr>
      <w:rFonts w:ascii="宋体" w:hAnsi="宋体" w:eastAsia="宋体" w:cs="Times New Roman"/>
      <w:bCs/>
      <w:kern w:val="0"/>
      <w:sz w:val="24"/>
      <w:szCs w:val="24"/>
      <w:lang w:val="zh-CN"/>
    </w:rPr>
  </w:style>
  <w:style w:type="character" w:customStyle="1" w:styleId="93">
    <w:name w:val="正文文本缩进 Char"/>
    <w:basedOn w:val="22"/>
    <w:link w:val="11"/>
    <w:qFormat/>
    <w:uiPriority w:val="0"/>
  </w:style>
  <w:style w:type="paragraph" w:customStyle="1" w:styleId="94">
    <w:name w:val="Table Paragraph"/>
    <w:basedOn w:val="1"/>
    <w:qFormat/>
    <w:uiPriority w:val="1"/>
    <w:pPr>
      <w:autoSpaceDE w:val="0"/>
      <w:autoSpaceDN w:val="0"/>
      <w:jc w:val="left"/>
    </w:pPr>
    <w:rPr>
      <w:rFonts w:ascii="宋体" w:hAnsi="宋体" w:cs="宋体"/>
      <w:kern w:val="0"/>
      <w:sz w:val="22"/>
      <w:szCs w:val="22"/>
      <w:lang w:val="zh-CN" w:bidi="zh-CN"/>
    </w:rPr>
  </w:style>
  <w:style w:type="table" w:customStyle="1" w:styleId="95">
    <w:name w:val="Table Normal"/>
    <w:semiHidden/>
    <w:unhideWhenUsed/>
    <w:qFormat/>
    <w:uiPriority w:val="2"/>
    <w:pPr>
      <w:widowControl w:val="0"/>
      <w:autoSpaceDE w:val="0"/>
      <w:autoSpaceDN w:val="0"/>
    </w:pPr>
    <w:rPr>
      <w:kern w:val="0"/>
      <w:sz w:val="22"/>
      <w:lang w:eastAsia="en-US"/>
    </w:rPr>
    <w:tblPr>
      <w:tblLayout w:type="fixed"/>
      <w:tblCellMar>
        <w:top w:w="0" w:type="dxa"/>
        <w:left w:w="0" w:type="dxa"/>
        <w:bottom w:w="0" w:type="dxa"/>
        <w:right w:w="0" w:type="dxa"/>
      </w:tblCellMar>
    </w:tblPr>
  </w:style>
  <w:style w:type="character" w:customStyle="1" w:styleId="96">
    <w:name w:val="font11"/>
    <w:basedOn w:val="22"/>
    <w:qFormat/>
    <w:uiPriority w:val="0"/>
    <w:rPr>
      <w:rFonts w:hint="eastAsia" w:ascii="宋体" w:hAnsi="宋体" w:eastAsia="宋体" w:cs="宋体"/>
      <w:color w:val="000000"/>
      <w:sz w:val="28"/>
      <w:szCs w:val="28"/>
      <w:u w:val="none"/>
    </w:rPr>
  </w:style>
  <w:style w:type="character" w:customStyle="1" w:styleId="97">
    <w:name w:val="font21"/>
    <w:basedOn w:val="22"/>
    <w:qFormat/>
    <w:uiPriority w:val="0"/>
    <w:rPr>
      <w:rFonts w:hint="eastAsia" w:ascii="宋体" w:hAnsi="宋体" w:eastAsia="宋体" w:cs="宋体"/>
      <w:color w:val="000000"/>
      <w:sz w:val="28"/>
      <w:szCs w:val="28"/>
      <w:u w:val="none"/>
      <w:vertAlign w:val="superscript"/>
    </w:rPr>
  </w:style>
  <w:style w:type="character" w:customStyle="1" w:styleId="98">
    <w:name w:val="font31"/>
    <w:basedOn w:val="22"/>
    <w:qFormat/>
    <w:uiPriority w:val="0"/>
    <w:rPr>
      <w:rFonts w:hint="eastAsia" w:ascii="宋体" w:hAnsi="宋体" w:eastAsia="宋体" w:cs="宋体"/>
      <w:color w:val="000000"/>
      <w:sz w:val="24"/>
      <w:szCs w:val="24"/>
      <w:u w:val="none"/>
      <w:vertAlign w:val="superscript"/>
    </w:rPr>
  </w:style>
  <w:style w:type="character" w:customStyle="1" w:styleId="99">
    <w:name w:val="font01"/>
    <w:basedOn w:val="22"/>
    <w:qFormat/>
    <w:uiPriority w:val="0"/>
    <w:rPr>
      <w:rFonts w:hint="eastAsia" w:ascii="宋体" w:hAnsi="宋体" w:eastAsia="宋体" w:cs="宋体"/>
      <w:color w:val="000000"/>
      <w:sz w:val="24"/>
      <w:szCs w:val="24"/>
      <w:u w:val="none"/>
      <w:vertAlign w:val="superscript"/>
    </w:rPr>
  </w:style>
  <w:style w:type="character" w:customStyle="1" w:styleId="100">
    <w:name w:val="font41"/>
    <w:basedOn w:val="22"/>
    <w:qFormat/>
    <w:uiPriority w:val="0"/>
    <w:rPr>
      <w:rFonts w:hint="eastAsia" w:ascii="宋体" w:hAnsi="宋体" w:eastAsia="宋体" w:cs="宋体"/>
      <w:color w:val="000000"/>
      <w:sz w:val="24"/>
      <w:szCs w:val="24"/>
      <w:u w:val="none"/>
      <w:vertAlign w:val="superscript"/>
    </w:rPr>
  </w:style>
  <w:style w:type="paragraph" w:customStyle="1" w:styleId="101">
    <w:name w:val="标书正文1"/>
    <w:basedOn w:val="1"/>
    <w:qFormat/>
    <w:uiPriority w:val="0"/>
    <w:pPr>
      <w:spacing w:line="520" w:lineRule="exact"/>
      <w:ind w:firstLine="640" w:firstLineChars="200"/>
    </w:pPr>
    <w:rPr>
      <w:rFonts w:ascii="Times New Roman" w:hAnsi="Times New Roman" w:eastAsia="宋体"/>
    </w:rPr>
  </w:style>
  <w:style w:type="character" w:customStyle="1" w:styleId="102">
    <w:name w:val="form-item-field"/>
    <w:basedOn w:val="22"/>
    <w:qFormat/>
    <w:uiPriority w:val="0"/>
    <w:rPr>
      <w:sz w:val="16"/>
      <w:szCs w:val="16"/>
    </w:rPr>
  </w:style>
  <w:style w:type="character" w:customStyle="1" w:styleId="103">
    <w:name w:val="sort-name-span"/>
    <w:basedOn w:val="22"/>
    <w:qFormat/>
    <w:uiPriority w:val="0"/>
  </w:style>
  <w:style w:type="character" w:customStyle="1" w:styleId="104">
    <w:name w:val="leaf"/>
    <w:basedOn w:val="22"/>
    <w:qFormat/>
    <w:uiPriority w:val="0"/>
  </w:style>
  <w:style w:type="character" w:customStyle="1" w:styleId="105">
    <w:name w:val="root"/>
    <w:basedOn w:val="22"/>
    <w:qFormat/>
    <w:uiPriority w:val="0"/>
  </w:style>
  <w:style w:type="character" w:customStyle="1" w:styleId="106">
    <w:name w:val="category-text"/>
    <w:basedOn w:val="22"/>
    <w:qFormat/>
    <w:uiPriority w:val="0"/>
    <w:rPr>
      <w:b/>
      <w:shd w:val="clear" w:fill="FFFFFF"/>
    </w:rPr>
  </w:style>
  <w:style w:type="character" w:customStyle="1" w:styleId="107">
    <w:name w:val="flow-name-span"/>
    <w:basedOn w:val="22"/>
    <w:qFormat/>
    <w:uiPriority w:val="0"/>
  </w:style>
  <w:style w:type="character" w:customStyle="1" w:styleId="108">
    <w:name w:val="form-textarea-print1"/>
    <w:basedOn w:val="22"/>
    <w:qFormat/>
    <w:uiPriority w:val="0"/>
    <w:rPr>
      <w:rFonts w:ascii="微软雅黑" w:hAnsi="微软雅黑" w:eastAsia="微软雅黑" w:cs="微软雅黑"/>
      <w:sz w:val="14"/>
      <w:szCs w:val="14"/>
    </w:rPr>
  </w:style>
  <w:style w:type="character" w:customStyle="1" w:styleId="109">
    <w:name w:val="font71"/>
    <w:basedOn w:val="22"/>
    <w:qFormat/>
    <w:uiPriority w:val="0"/>
    <w:rPr>
      <w:rFonts w:hint="eastAsia" w:ascii="仿宋" w:hAnsi="仿宋" w:eastAsia="仿宋" w:cs="仿宋"/>
      <w:b/>
      <w:bCs/>
      <w:color w:val="000000"/>
      <w:sz w:val="22"/>
      <w:szCs w:val="22"/>
      <w:u w:val="none"/>
    </w:rPr>
  </w:style>
  <w:style w:type="character" w:customStyle="1" w:styleId="110">
    <w:name w:val="font91"/>
    <w:basedOn w:val="22"/>
    <w:qFormat/>
    <w:uiPriority w:val="0"/>
    <w:rPr>
      <w:rFonts w:hint="eastAsia" w:ascii="仿宋" w:hAnsi="仿宋" w:eastAsia="仿宋" w:cs="仿宋"/>
      <w:color w:val="000000"/>
      <w:sz w:val="24"/>
      <w:szCs w:val="24"/>
      <w:u w:val="none"/>
    </w:rPr>
  </w:style>
  <w:style w:type="character" w:customStyle="1" w:styleId="111">
    <w:name w:val="font112"/>
    <w:basedOn w:val="22"/>
    <w:qFormat/>
    <w:uiPriority w:val="0"/>
    <w:rPr>
      <w:rFonts w:ascii="Arial" w:hAnsi="Arial" w:cs="Arial"/>
      <w:color w:val="000000"/>
      <w:sz w:val="24"/>
      <w:szCs w:val="24"/>
      <w:u w:val="none"/>
    </w:rPr>
  </w:style>
  <w:style w:type="character" w:customStyle="1" w:styleId="112">
    <w:name w:val="font81"/>
    <w:basedOn w:val="22"/>
    <w:qFormat/>
    <w:uiPriority w:val="0"/>
    <w:rPr>
      <w:rFonts w:hint="eastAsia" w:ascii="仿宋" w:hAnsi="仿宋" w:eastAsia="仿宋" w:cs="仿宋"/>
      <w:color w:val="000000"/>
      <w:sz w:val="24"/>
      <w:szCs w:val="24"/>
      <w:u w:val="none"/>
    </w:rPr>
  </w:style>
  <w:style w:type="character" w:customStyle="1" w:styleId="113">
    <w:name w:val="font121"/>
    <w:basedOn w:val="22"/>
    <w:qFormat/>
    <w:uiPriority w:val="0"/>
    <w:rPr>
      <w:rFonts w:hint="default" w:ascii="Arial" w:hAnsi="Arial" w:cs="Arial"/>
      <w:color w:val="000000"/>
      <w:sz w:val="24"/>
      <w:szCs w:val="24"/>
      <w:u w:val="none"/>
    </w:rPr>
  </w:style>
  <w:style w:type="character" w:customStyle="1" w:styleId="114">
    <w:name w:val="font101"/>
    <w:basedOn w:val="22"/>
    <w:qFormat/>
    <w:uiPriority w:val="0"/>
    <w:rPr>
      <w:rFonts w:hint="eastAsia" w:ascii="仿宋" w:hAnsi="仿宋" w:eastAsia="仿宋" w:cs="仿宋"/>
      <w:color w:val="000000"/>
      <w:sz w:val="24"/>
      <w:szCs w:val="24"/>
      <w:u w:val="none"/>
      <w:vertAlign w:val="superscript"/>
    </w:rPr>
  </w:style>
  <w:style w:type="paragraph" w:customStyle="1" w:styleId="115">
    <w:name w:val="c正文"/>
    <w:basedOn w:val="1"/>
    <w:qFormat/>
    <w:uiPriority w:val="99"/>
    <w:pPr>
      <w:spacing w:line="360" w:lineRule="auto"/>
      <w:ind w:firstLine="480" w:firstLineChars="200"/>
    </w:pPr>
    <w:rPr>
      <w:rFonts w:ascii="Times New Roman" w:hAnsi="Times New Roman" w:eastAsia="宋体" w:cs="Times New Roman"/>
      <w:sz w:val="24"/>
      <w:szCs w:val="24"/>
    </w:rPr>
  </w:style>
  <w:style w:type="character" w:customStyle="1" w:styleId="116">
    <w:name w:val="form-item-field2"/>
    <w:basedOn w:val="22"/>
    <w:qFormat/>
    <w:uiPriority w:val="0"/>
    <w:rPr>
      <w:sz w:val="16"/>
      <w:szCs w:val="16"/>
    </w:rPr>
  </w:style>
  <w:style w:type="character" w:customStyle="1" w:styleId="117">
    <w:name w:val="font51"/>
    <w:basedOn w:val="22"/>
    <w:qFormat/>
    <w:uiPriority w:val="0"/>
    <w:rPr>
      <w:rFonts w:ascii="Segoe UI" w:hAnsi="Segoe UI" w:eastAsia="Segoe UI" w:cs="Segoe UI"/>
      <w:color w:val="0F1115"/>
      <w:sz w:val="23"/>
      <w:szCs w:val="23"/>
      <w:u w:val="none"/>
    </w:rPr>
  </w:style>
  <w:style w:type="character" w:customStyle="1" w:styleId="118">
    <w:name w:val="font61"/>
    <w:basedOn w:val="22"/>
    <w:uiPriority w:val="0"/>
    <w:rPr>
      <w:rFonts w:hint="eastAsia" w:ascii="宋体" w:hAnsi="宋体" w:eastAsia="宋体" w:cs="宋体"/>
      <w:color w:val="0F1115"/>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1081</Words>
  <Characters>1157</Characters>
  <Lines>2</Lines>
  <Paragraphs>1</Paragraphs>
  <TotalTime>20</TotalTime>
  <ScaleCrop>false</ScaleCrop>
  <LinksUpToDate>false</LinksUpToDate>
  <CharactersWithSpaces>1270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2017-10-12T06:56:00Z</dcterms:created>
  <dc:creator>Ld</dc:creator>
  <cp:lastModifiedBy>Administrator</cp:lastModifiedBy>
  <cp:lastPrinted>2024-03-28T07:23:00Z</cp:lastPrinted>
  <dcterms:modified xsi:type="dcterms:W3CDTF">2026-10-14T07:30:24Z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2910610CDE4441788F7AC0AF86615839_13</vt:lpwstr>
  </property>
  <property fmtid="{D5CDD505-2E9C-101B-9397-08002B2CF9AE}" pid="4" name="KSOTemplateDocerSaveRecord">
    <vt:lpwstr>eyJoZGlkIjoiOTA3ZmZlOWI0ZTE5NThiN2Q3OWZlMjhiYTZjOTcxZDAifQ==</vt:lpwstr>
  </property>
</Properties>
</file>