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理实一体智慧教室建设</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7</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理实一体智慧教室建设</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货物需在8月30日前全部到货并完成安装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rPr>
          <w:rFonts w:hint="eastAsia" w:eastAsia="宋体"/>
          <w:lang w:val="en-US" w:eastAsia="zh-CN"/>
        </w:rPr>
      </w:pPr>
      <w:r>
        <w:rPr>
          <w:rFonts w:hint="eastAsia" w:ascii="宋体" w:hAnsi="宋体" w:eastAsia="宋体" w:cs="宋体"/>
          <w:b/>
          <w:bCs/>
          <w:sz w:val="18"/>
          <w:szCs w:val="18"/>
          <w:lang w:val="en-US" w:eastAsia="zh-CN"/>
        </w:rPr>
        <w:t>　      3、供应商的报价商品有品牌、型号的，需在品牌一栏填写其报价商品品牌及型号。</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bookmarkStart w:id="0" w:name="_GoBack"/>
      <w:bookmarkEnd w:id="0"/>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10950" w:type="dxa"/>
        <w:tblInd w:w="-3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865"/>
        <w:gridCol w:w="4814"/>
        <w:gridCol w:w="519"/>
        <w:gridCol w:w="543"/>
        <w:gridCol w:w="778"/>
        <w:gridCol w:w="741"/>
        <w:gridCol w:w="1370"/>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8" w:hRule="atLeast"/>
        </w:trPr>
        <w:tc>
          <w:tcPr>
            <w:tcW w:w="10950" w:type="dxa"/>
            <w:gridSpan w:val="9"/>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2"/>
                <w:szCs w:val="32"/>
                <w:u w:val="none"/>
                <w:lang w:val="en-US" w:eastAsia="zh-CN" w:bidi="ar"/>
              </w:rPr>
            </w:pPr>
            <w:r>
              <w:rPr>
                <w:rFonts w:hint="eastAsia" w:ascii="微软雅黑" w:hAnsi="微软雅黑" w:eastAsia="微软雅黑" w:cs="微软雅黑"/>
                <w:b/>
                <w:bCs/>
                <w:i w:val="0"/>
                <w:iCs w:val="0"/>
                <w:color w:val="000000"/>
                <w:kern w:val="0"/>
                <w:sz w:val="32"/>
                <w:szCs w:val="32"/>
                <w:u w:val="none"/>
                <w:lang w:val="en-US" w:eastAsia="zh-CN" w:bidi="ar"/>
              </w:rPr>
              <w:t>达州职院智慧教室采购清单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5" w:hRule="atLeast"/>
        </w:trPr>
        <w:tc>
          <w:tcPr>
            <w:tcW w:w="5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8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规格参数</w:t>
            </w:r>
          </w:p>
        </w:tc>
        <w:tc>
          <w:tcPr>
            <w:tcW w:w="51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7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13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7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34"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86寸智慧黑板</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一、整体设计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整机采用全金属外壳三拼接平面一体化设计，主副屏过渡平滑并在同一平面，中间无单独边框阻隔，无推拉式结构及外露连接线，外观简洁。整机屏幕边缘采用金属圆角包边防护，整机背板采用金属材质，有效屏蔽内部电路器件辐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2、整体外观尺寸：宽≥4200mm，高≥1200mm，厚≤87mm。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3、整机屏幕采用86英寸UHD超高清LED液晶屏，显示比例16:9，显示分辨率3840*2160，屏幕显示灰度分辨等级达到256及以上灰阶；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4、整机色域覆盖率（NTSC）≥85%，可视角度≥178°。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5、整机外壳采用金属材质，屏幕采用≥3.2mm防眩钢化玻璃保护，表面硬度≥莫氏8级，硬度大于等于9H，透光率不低于93%，雾度≤8%。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6、整机支持色彩空间可选，包含标准模式和sRGB，在sRGB模式下可做到高色准△E≤1。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二、整机设计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整机为双系统设计，嵌入式安卓操作系统版本为Android13,CPU核数不小于4核；同时嵌入式Android操作系统下可实现windows系统中常用的教学应用功能，具有白板书写、WPS软件使用和网页浏览，安卓系统ram：≥2G；rom：≥16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2、整机具有置物槽，方便粉笔、触控笔等临时放置，提高课堂效率。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3、整机设备副板支持磁吸附功能，可以满足带有磁吸的板擦等教具进行吸附在副板上。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4、整机设备副屏板支持普通粉笔、液体粉笔、水溶性粉笔直接书写。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5、整机设备副屏板面采用优质烤漆板，板面喷涂纳米书写涂层；整机设备副屏板面夹层采用铝蜂窝材质，漆膜硬度6H。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6、整机前置USB3.0接口3个，HDMI接口1个；Type-C接口1个；侧置输入接口具备1路HDMI IN、1路RS232、2路USB接口，侧置输出接口具备1路音频输入输出、1路触控USB输出，双千兆网口设计；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前置不少于7个物理按键，可实现开关待机、音量调节、调出设置菜单、进入Android系统、返回、护眼、ops单独开关机等操作；且按键支持在设置中进行配置，如用户可以设置按键为短按或者长按响应，响应的功能可以是一键开关ops、ops一键还原、一键滤蓝光护眼模式、截屏、秒表、倒计时、放大镜、聚光灯、计算器、冻屏、日历、设置、白板、批注悬浮等。关机状态下长按电源键可进入到一键还原状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整机屏体无需操作即可实现蓝光防护，具备物理防蓝光功能；整机采用硬件低蓝光背光技术，在源头减少有害蓝光波段能量，蓝光占比（有害蓝光415～455nm能量综合）/（整体蓝光400～500能量综合）&lt;50%，低蓝光保护显示不偏色、不泛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9、独立扩声系统，可实现单独听功能，在关闭显示部分的待机情况下仍可将接入的多媒体信号混音后通过设备内置音箱播出实现扩声功能，轻触显示部分可点亮屏幕。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10、内置无线传屏接收端，无需外接接收部件，无线传屏发射器与整机匹配后即可实现传屏功能，将外部电脑的屏幕画面通过无线方式传输到整机上显示。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11、整机无需外接无线网卡，在Windows系统下可实现Wi-Fi无线上网连接、AP无线热点发射和BT蓝牙连接功能。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整机内置支持2.4GHz和5GHz双频WiFi，支持蓝牙5.4；Wi-Fi和AP热点工作距离15m，AP热点支持50个用户终端在线网络连接。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智慧黑板具备可单侧或双侧显示的快捷键功能，支持设置开启/关闭或自动显隐，至少具备以下功能：打开白板软件、屏幕批注、前翻页、后翻页、回到桌面、关闭窗口、自定义等，方便教师快捷操作，满足教学应用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智慧黑板产品的遥控器具有遥控器、鼠标功能（启动鼠标功能，遥控器起到鼠标作用）、键盘功能（开启键盘功能，当windows系统出现问题、需要在安全模式或者DOS模式下维修，此时黑板触摸不起作用，遥控器可代替键盘协助系统修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14、Windows7、Windows8、Windows10、Linux、MacOs系统外置电脑操作系统接入时，无需安装触摸驱动。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15、整机前置按键具备三合一电源按键，同一物理按键完成双系统开机、熄屏、关机操作；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16、通过一根线（无需重复连接触摸信号）连接到整机的电脑或手机在投屏的同时即可直接读写整机前置USB接口的移动存储设备数据，连接整机前置USB接口的翻页笔和无线鼠标外接设备可直接使用于外接电脑。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17、内置无线传屏接收端，无需外接接收部件，无线传屏发生器与整机匹配后即可实现传屏功能，将外部电脑的屏幕画面通过无线方式传输到整机上显示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▲18、整机具有物联传感器，安卓系统可以监控教室温度、湿度，并可上传到云端，云端可查看各教室温度、湿度情况（提供封面具有CNAS标志的权威检测机构的检测报告复印件加盖原厂红色公章）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三、软件功能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1、整机内置专业硬件自检维护工具（非第三方工具），支持对触摸框和PC模块进行检测，并针对不同模块给出问题代码提示。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整机支持半屏模式，将Windows显示画面上半部分下拉到屏幕下半部分显示，此时可以正常触控操作Windows系统，点击非Windows显示画面区域（屏幕上半部分），可退出该模式。在HDMI、Android以及Windows信号源模式下，整机屏幕支持手势下移实现半屏显示，半屏模式不少于4种，半屏显示时可通过点击上方屏幕返回全屏。窗口下移支持多种下移方式，涵盖左下角、右下角，底部居中等多种下移模式。下移同时可做到整屏缩小，画面完整、无任何画面裁剪且触控正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3、开关机设置：整机本地支持自定义设置开机时间和关机时间，组数不少于5组，无需网络环境即可实现。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侧边栏支持整机支持高级音效及图像模式调节。音效模式不少于四种，且具备环绕声模式的开关，可以对平衡、低音、高音及数字声音输出的设置；图像模式不少于四种，标准、动态、亮丽、用户，且具备亮度、对比度、饱和度、色调和锐度的调节和色温的选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5、整机全通道侧边栏支持在任意通道、页面使用批注小工具进行批注讲解，可切换书写笔颜色、截屏保存批注内容、快速清屏，可根据手与屏幕的接触面积自动调整板擦工具的大小。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6、整机处于非内置PC通道下，支持调用屏幕快捷键一键回到PC通道。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7、整机支持纸质护眼模式，可以在任意通道任意画面任意软件所有显示内容实现画面纹理的实时调整；支持纸质纹理：牛皮纸、素描纸、宣纸、水彩纸、水纹纸；支持透明度调节，支持色温调节。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整机安卓和全部外接全部通道（HDMI、type-C、ops等）下侧边栏支持通过扫描二维码加入班级，老师可设置题型，学生回答后提交，教师可查看正确率比例并进行讲解。可随机抽选、实时弹幕，管理当前班级成员，导出学生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9、为方便教学，双系统具有智能手势开关黑板背光功能、双系统一键切换、双系统共享USB接口、HDMI输出共享、双系统网络共享</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10、整机全通道侧边栏快捷菜单中应用软件可进行实时切换并打开，无需退出当前全屏模式的应用软件再选择更换。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11、为方便教学，提高教学进度，整机具有触摸悬浮菜单，可呼唤菜单功能的打开与关闭，可自定义显示或隐藏并支持通过两指调用菜单到屏幕任意位置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12、整机在任意通道下支持五指熄屏，并且可根据需要关闭或打开。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13、整机系统下，可通过手势或者侧边栏实现一键降屏（窗口下移）功能，整机全通道侧边栏支持快速将设备屏幕降低为半屏幕状态，点击上半屏幕可以快速返回全屏状态支持点击恢复显示全屏窗口。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14、整机全通道侧边栏快捷菜单包含的小工具有：批注、截屏、计时、降半屏、放大镜、日历。在Android通道和全部外接通道（HDMI、Type-C），还具备答题、倒数日、节拍器小工具。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15、支持通道记忆功能，开机默认回到最近一次关机时的显示通道。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整机具备智能手势识别功能，在任意信号源通道下均可识别五指长按、上、下、左、右方向滑动手势，五指画O、画~、左右晃动、缩/放方向手势滑动并调用相应功能。支持将各手势滑动方向自定义设置为无操作、熄屏、批注、桌面、半屏模式，并且可根据需要关闭或打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17、无PC状态下，Android系统内置互动白板支持全局漫游，并能在工具栏中对全局内容进行预览和移动。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▲18、整机支持锁屏，并具有多种解锁方式，USB key插入后解锁，密码解锁，刷卡解锁，扫二维码解锁，支持在有网络和无网络的情况下通过手机APP扫码解锁设备，方便教学管理；（提供封面具有CNAS标志的权威检测机构的检测报告复印件加盖原厂红色公章）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四、平台功能及内容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1.提供资源库播放功能：资源类型能包含文档、PPT、图片、视频等。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提供在线登录功能：用户可使用账号、密码进行登录，并且在登陆时使用图形验证码进行验证，有效防止恶意登录与机器人攻击。支持管理员、教师、学生等多种用户角色在线登录，并可根据账号权限开放对应页面与数据，保障系统稳定运行，确保用户数据传输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★3.提供班级管理功能：教师可在线添加班级与学生。支持手动录入与批量添加，录入基本信息后，如姓名、手机号等。创建成功后可登录系统进行在线学习。（需提供相关平台功能截图）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4.提供学习统计功能：支持学生随时查看自己的学习进度，掌握当日学习情况、练题数量。提高学习成绩。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提供教学管理功能：支持教师查看当前账号下所有班级、所有学生的练题情况、学习时长，通过学生学习情况进行有效的数据分析，进行针对性的指导。量化学习活动、优化学习策略，提高学习学习效率。（需提供相关平台功能截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6.提供成绩查询功能：支持管理员、教师、学生可随时、随地查看学生答题情况与成绩得分信息。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7.提供成绩查询功能：支持管理员、教师、学生可随时、随地查看学生答题情况与成绩得分信息。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▲8.包含幼儿照护职业技能等级证书初级、中级核心技能点示范视频，视频个数不少于32个，时长不低于214分钟。（需提供核心技能点示范视频资源平台目录截图）</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28700" cy="685800"/>
                  <wp:effectExtent l="0" t="0" r="0" b="0"/>
                  <wp:docPr id="12"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IMG_256"/>
                          <pic:cNvPicPr>
                            <a:picLocks noChangeAspect="1"/>
                          </pic:cNvPicPr>
                        </pic:nvPicPr>
                        <pic:blipFill>
                          <a:blip r:embed="rId4"/>
                          <a:stretch>
                            <a:fillRect/>
                          </a:stretch>
                        </pic:blipFill>
                        <pic:spPr>
                          <a:xfrm>
                            <a:off x="0" y="0"/>
                            <a:ext cx="1028700" cy="685800"/>
                          </a:xfrm>
                          <a:prstGeom prst="rect">
                            <a:avLst/>
                          </a:prstGeom>
                          <a:noFill/>
                          <a:ln w="9525">
                            <a:noFill/>
                          </a:ln>
                        </pic:spPr>
                      </pic:pic>
                    </a:graphicData>
                  </a:graphic>
                </wp:inline>
              </w:drawing>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4"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视频展台</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设备应采用壁挂式安装方式，壁挂箱体采用铝合金外壳，美观耐用，四周无锐角无利边设计。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设备具有折叠开合式托板，托板展开后可调节为A3或A4面积。（提供封面具有CNAS标志的权威检测机构的检测报告复印件加盖原厂红色公章）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 采用 USB 高速接口，单根 USB 线实现供电、高清数据传输；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整机采用高清摄像头设计，不小于800万像素定焦镜头。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设备应配有不少于10颗补光灯，支持三档调节触摸开关，补光灯色温不小于5000K。</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具备全向MIC，可录制10米以内的声音。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具备不少于2个USB-Type C接口，支持即插即用。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 支持不少于6个功能按键，分别为补光灯调节、A3/A4切换、放大、缩小、拍照、逆时针旋转90°。（提供封面具有CNAS标志的权威检测机构的检测报告复印件加盖原厂红色公章）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 具备设备工作指示灯，当音视频取流时指示灯常亮，音视频不取流时指示灯灭。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 支持抬杆自动出图，在抬起摇臂时自动显示视频画面。</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28700" cy="1000125"/>
                  <wp:effectExtent l="0" t="0" r="0" b="9525"/>
                  <wp:docPr id="11" name="图片 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57"/>
                          <pic:cNvPicPr>
                            <a:picLocks noChangeAspect="1"/>
                          </pic:cNvPicPr>
                        </pic:nvPicPr>
                        <pic:blipFill>
                          <a:blip r:embed="rId5"/>
                          <a:stretch>
                            <a:fillRect/>
                          </a:stretch>
                        </pic:blipFill>
                        <pic:spPr>
                          <a:xfrm>
                            <a:off x="0" y="0"/>
                            <a:ext cx="1028700" cy="1000125"/>
                          </a:xfrm>
                          <a:prstGeom prst="rect">
                            <a:avLst/>
                          </a:prstGeom>
                          <a:noFill/>
                          <a:ln w="9525">
                            <a:noFill/>
                          </a:ln>
                        </pic:spPr>
                      </pic:pic>
                    </a:graphicData>
                  </a:graphic>
                </wp:inline>
              </w:drawing>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教师讲台</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讲台尺寸：1100*780*1000mm±10mm(长宽高)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工艺：脱脂、磷化、静电喷塑、溜平固化，重点部位须采用一次冲压成型技术；所有钣金部分均采用激光切割加工，所有尖角倒圆角不小于R3，保证使用者和维护者不划伤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1、盖门采取翻转方式，更加人性化的设计，解决了以往盖门沉重，女教师及年老教师开门比较困难的问题。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2、合理的尺寸设计，合理的设备安排，国标19英寸机架，真正做到防盗功能。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3、钢木结合材料一体成型；桌体采用1.0-1.2mm优质冷轧钢板，实木扶手；桌面黄色木质耐划台面；全封闭式结构，保障了多媒体设备的安全性。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4、整个讲台只使用一副滑轨，减少故障几率。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5、液晶显示器采用翻转设计，显示器角度任意调节，可使视线和显示器接近垂直，可安装17-24寸显示器，关闭后所有设备都隐藏在讲台内。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6、键盘采用翻转式操作，显示器、中央控制系统、键盘互不影响独立操作。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7、右侧抽屉采用隐藏抽拉式设计，可放置实物展台。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8、讲桌桌体采用开合式小柜门设计，不必打开大柜门，即可经由计算机光驱播放光碟。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9、桌面预留集成笔记本接口模块（USB两个\VGA一个\网络接口一个\ Audio一个\电源接口一个\HDMI一个\话筒接口一个。(另配)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10、桌体下层内部采用标准机柜设计，带层板，可任意调节。</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28700" cy="1028700"/>
                  <wp:effectExtent l="0" t="0" r="0" b="0"/>
                  <wp:docPr id="13" name="图片 1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58"/>
                          <pic:cNvPicPr>
                            <a:picLocks noChangeAspect="1"/>
                          </pic:cNvPicPr>
                        </pic:nvPicPr>
                        <pic:blipFill>
                          <a:blip r:embed="rId6"/>
                          <a:stretch>
                            <a:fillRect/>
                          </a:stretch>
                        </pic:blipFill>
                        <pic:spPr>
                          <a:xfrm>
                            <a:off x="0" y="0"/>
                            <a:ext cx="1028700" cy="1028700"/>
                          </a:xfrm>
                          <a:prstGeom prst="rect">
                            <a:avLst/>
                          </a:prstGeom>
                          <a:noFill/>
                          <a:ln w="9525">
                            <a:noFill/>
                          </a:ln>
                        </pic:spPr>
                      </pic:pic>
                    </a:graphicData>
                  </a:graphic>
                </wp:inline>
              </w:drawing>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6"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折叠桌-1200*750mm</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1.尺寸：1200*750mm±5mm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2.台架：采用≥60*30圆管不小于1.2mm厚冷轧钢管；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3.横梁：采用≥50圆管不小于1.2mm厚冷轧钢管；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4.两边顶托铁片≥3.0mm厚；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5.书网：采用≥12圆管不小于1.0mm冷轧钢管；以上表面处理经酸洗、磷化、脱脂，高温静电喷涂防锈处理；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6.台面采用≥25mm厚E1级环保中纤板基材三胺板，颜色可选配；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7.前挡板采用≥15mm厚E1级中纤板基材，颜色可选配。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8.桌架两侧有ABS塑料旋钮，任何一侧轻轻旋转便可折叠桌面；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9.连接配件：铝合金压铸接头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10.脚轮材质；PU静音轮配有旋钮，可手动调节高低，调节范围≥1.5cm,确保拼接平整。</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28700" cy="742950"/>
                  <wp:effectExtent l="0" t="0" r="0" b="0"/>
                  <wp:docPr id="9" name="图片 1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descr="IMG_259"/>
                          <pic:cNvPicPr>
                            <a:picLocks noChangeAspect="1"/>
                          </pic:cNvPicPr>
                        </pic:nvPicPr>
                        <pic:blipFill>
                          <a:blip r:embed="rId7"/>
                          <a:stretch>
                            <a:fillRect/>
                          </a:stretch>
                        </pic:blipFill>
                        <pic:spPr>
                          <a:xfrm>
                            <a:off x="0" y="0"/>
                            <a:ext cx="1028700" cy="742950"/>
                          </a:xfrm>
                          <a:prstGeom prst="rect">
                            <a:avLst/>
                          </a:prstGeom>
                          <a:noFill/>
                          <a:ln w="9525">
                            <a:noFill/>
                          </a:ln>
                        </pic:spPr>
                      </pic:pic>
                    </a:graphicData>
                  </a:graphic>
                </wp:inline>
              </w:drawing>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22"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智慧课桌配椅</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1.椅面：采用全新PP工程塑料一次注塑成型；卡扣式设计，无需螺丝安装；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2.椅架：采用直径≥11mm实心圆钢，表面抛光电镀处理；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3.胶垫：采用PP工程塑料，独特的转角卡式设计，不易脱落，防滑、耐磨，不伤地板；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4.座和背软包：可选配座板加软包，背板加软包，优质网布，颜色可多选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5.尺寸：470*450*770mm±10mm</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600075" cy="742950"/>
                  <wp:effectExtent l="0" t="0" r="9525" b="0"/>
                  <wp:docPr id="14" name="图片 1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IMG_260"/>
                          <pic:cNvPicPr>
                            <a:picLocks noChangeAspect="1"/>
                          </pic:cNvPicPr>
                        </pic:nvPicPr>
                        <pic:blipFill>
                          <a:blip r:embed="rId8"/>
                          <a:stretch>
                            <a:fillRect/>
                          </a:stretch>
                        </pic:blipFill>
                        <pic:spPr>
                          <a:xfrm>
                            <a:off x="0" y="0"/>
                            <a:ext cx="600075" cy="742950"/>
                          </a:xfrm>
                          <a:prstGeom prst="rect">
                            <a:avLst/>
                          </a:prstGeom>
                          <a:noFill/>
                          <a:ln w="9525">
                            <a:noFill/>
                          </a:ln>
                        </pic:spPr>
                      </pic:pic>
                    </a:graphicData>
                  </a:graphic>
                </wp:inline>
              </w:drawing>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移动示教实训车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一、实训录播一体机1台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1、≥23.8寸电容触摸屏，CPU:I5-7代处理器及以上,≥16G内存，硬盘：不小于1T固态，千兆网卡，集成显卡，支持WIFI6；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二、实训录播系统1套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1、开启系统画面自动投屏无需任何操作，并同时支持多个显示终端无线投屏；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2、支持HDMI/SDI音视频采集设备、视频/音频文件、幻灯片、图形图片、流媒体、桌面程序、标题、虚拟集、网</w:t>
            </w:r>
            <w:r>
              <w:rPr>
                <w:rFonts w:ascii="Arial Unicode MS" w:hAnsi="Arial Unicode MS" w:eastAsia="Arial Unicode MS" w:cs="Arial Unicode MS"/>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等导入，支持IP访问，支持RTSP、SRT、NDI拉流；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3、支持系统自定义视频源实训画面名称，可将所有视频实训画面自定义分组，满足多小组实训授课需求。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4、系统支持多通道同时录制，≥20路视频信号源，方便多小组视频实训画面供老师学生学习查看；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视频录制：支持PGM直播画面录制，格式支持AVI、WMV、MP4等多种格式；支持自定义分段录制；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6、系统支持实训画面全屏模式方便教师观看，点击屏幕可切换实训画面。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7、支持100多种虚拟场景，支持高质量色键抠像，支持蓝箱、绿箱抠像，支持自建虚拟集场景，满足不同教学要求；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8、支持多画面布局、编辑、输出等功能；内嵌多种多画面布局，满足多路信号源同时观看，方便实训画面对比分析教学；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9、支持挂接微信视频号、抖音号、腾讯视频会议、钉钉视频会议、ZOOM等第三方视频互动软件；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10、最高支持8K图像的制作；支持全制式全分辨率，4K、HD1080P60/50/25、1080I60/50、720P60/50等；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11、虚拟调音台支持独占、跟随、混音、静音、音量调节、监听；通道切换声音有渐变效果；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12、支持BUSA-BUSD多组音频组合方式，实现多组主通道挂接音频设备。实现更多音频播出需求。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13、最大支持4路慢镜回放功能，方便教师回看分析讲解实训画面。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14、每个通道都支持缩放、移动、裁剪、旋转等功能；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15、可自定义创建复杂的图层/字幕，内置不少于100种标题模版，可实时制作字幕/比分/画中画/时钟/滚动字幕等多种字幕形式。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16、系统支持每一路信号源单独放大，在不影响主画面的情况下可清楚查看其他信号源、实训画面信息。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17、预警功能：实时监控GPU、CPU等使用情况；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18、支持对通道素材分辨率、帧率、像素格式、图像对比度、色调、亮度、饱和度进行独立调整；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19、支持每个通道都可以直接叠加到直播画面上，方便实训画面结合其它通道信号源实践教学；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三、实训摄像机1台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1、采用1/2.5英寸，≥851万有效像素的高品质 “Exmor R” CMOS Sensor传感器，可实现 3840×2160 超高分辨率的优质图像。在保证超高清晰度的同时，重点满足了对画面流畅性的需求。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2、应用了2D和基于运动估计的3D降噪算法，采用新一代低噪声传感器，有效的降低了噪声。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3、≥20X光学变焦，≥58度水平视角，≥12倍数字变焦。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4、支持4KP30/25,1080P60/50/30/25、720P60/50等多种高清视频制式。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5、可通过串口对255个位置进行预先设置，包括变倍进行预设，即使在摄像机掉电关闭时，预设数据也可以保存下来。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6、网络口：编码：H.265/H.264/MJPEG，网络协议： IPv4, TCP, UDP, HTTP,NTP,DNS,  DHCP,ARP,  RTSP, RTP,RTCP, RTMP，NDI(可选),ONVIF,VISCA OVER IP,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7、通讯接口：1 路, RS-485 ,最大距离: 1200 米, VISCA/Pelco-D/Pelco-P 协议。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8、水平视场角：12X:70.5°(广角端)～5.9°(远端)，焦距：4mm～48mm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20X:58°(广角端)～2.9°(远端)，焦距：5.5mm～110mm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四、全景摄像机1台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1、AI智能跟踪：内置高速处理器以及采用独家先进的图像处理和分析算法，用户可根据使用环境实现实时跟踪与区域跟踪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2、采用1/2.8英寸，≥500万像素的高品质 “Exmor R” CMOS Sensor传感器，可实现 1920×1080高分辨率的优质图像。在保证超高清晰度的同时，重点满足了对画面流畅性的需求。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3、应用了2D和基于运动估计的3D降噪算法，采用新一代低噪声传感器，有效的降低了噪声。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4、≥20X光学变焦，≥58.7度水平视角，≥12倍数字变焦。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5、支持1080P60/50/30/25;720P60/50; 3840×2160P29、1080P59、1080P29、720P59 、720P29多种高清视频制式。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6、可通过串口对256个位置进行预先设置，包括水平、俯仰、变倍进行预设，即使在摄像机掉电关闭时，预设数据也可以保存下来。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7、支持MJPG/YUY2/H.264三种编码方式。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8、配备有操作简便的遥控器，除了可进行基本设定，以及对8平、俯仰、变倍等进行控制外，还可以通过遥控器调出菜单设定摄像机的相关参数。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9、内置高速处理器以及采用独家先进的图像处理和分析算法，用户可根据使用环境实现实时跟踪与区域跟踪。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10、最低照度：支持超低照度：≤0.1Lux@F1.6（彩色），≤0.01Lux@F1.6（黑白）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五、麦克风1套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腰包式无线麦克风套件。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1.PLL真分集,单通道有≥100个频道可选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2.有单独电子音量调节大小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3.具有一键搜频功能，可通过智能搜索没有干扰频率。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4.采用UHF超高频段，比传统的VHF频段干扰更少，传输更可靠。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5.UHF频段传输信号，频率范围640-665MHz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6.LCD屏显示工作信道、工作频点、接收信号、音频信号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7.接收机背面设置2条橡胶接收天线，增强接收的信号，外观大方得体；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8.背面设有2个平衡输出和1个混合非平衡输出，适合连接各种外置设备；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9.优质咪芯，声音还原、清晰度高、噪音小；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10.使用1.5V电池（2粒）供电，可连续使用8小时以上；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11.适用于户外专业演出场合。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12.频率范围: 640-665MHz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13.频率稳定性: 土0.005nn%</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14.信噪比：＞110dB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15.失真度：&lt;0.5%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16.灵敏度: 12dBu(S/N80Db)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17.动态范围：≥100dB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18.频带宽度:32MHz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19.综合频率响应:40Hz-18KHz±3dB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20.振荡方式：PLL相位锁定频率合成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21.工作范围：一般160米(空阔地方)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22.工作温度: 摄氏零下20度到摄氏50度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23.供电:110V-240V AC50/60Hz15W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24.音头: 电容式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25.电池:AA×2, ≥95mA(典型)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26.失真度：&lt;0.5%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27.灵敏度: 12dBu(S/N80Db)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28.动态范围：&gt;100dB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29.频带宽度:32MHz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30.综合频率响应:40Hz-18KHz±3dB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31.振荡方式：PLL相位锁定频率合成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32.工作范围：一般160米(空阔地方)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33.工作温度: 摄氏零下20度到摄氏50度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34.供电:12V DC/1.5A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35.音头: 动圈式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36.电池:AAx2,  ≥95mA(典型)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六、台车1套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1、移动教学推车万向臂、实训主机支架、相机托架、扶手、托板，高度可跟具需求任意安装，满足移动万向拍摄需求；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2、专业多功能万向臂，转臂可折叠收缩，可自行穿线，方便简洁，连接线缆隐藏在转臂内部，外观干净，整洁。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3、可水平 360 度旋转，二节转臂垂直45度调节，可多方位旋转调节，实现高清摄像机细节的移动拍摄。万向臂水平展开尺寸1.1米，可自行调节承重，承重范围：0.5-2KG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4、万向臂支持多种高清摄像机的安装，相机托架适用于多种场景的相机变换与安装。移动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5、示教主机固定架可以承受≥10kg, 可进行俯仰不小于30度、左右不小于90度的摆动，可满足不同视角角度需要。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6、台面把手一体化，带键盘托，台面及把手无缝一体成型，舒适手感。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7、立柱高度可调节，车身高度不低于1.8米；使用高强度的铝合金,内部中空设计，可隐藏走线，线材不外漏。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8、车体底座采用高强度防缠绕静音万向医疗轮4组，带刹车功能。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9、配备电源控制开关，无需打开机柜，外部可一键控制设备电源开关；配备电量显示模块，低压报警，可显示箱内温度，实时查看电池电量情况，方便及时充电，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10、标配箱体约高500mm*宽450mm* 深420mm±10mm；检修门设计，美观大方；两侧多点散热孔设计。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11、键盘托尺寸：:600(长)x400（宽）MM±10MM 带抽屉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12、底盘：流线型设计，造型美观，易于清洁维护；内部高强度金属结构底座框架支撑，增加底部配重，使重心平衡，避免倾翻，具有高承载能力和稳固性强。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七、UPS锂电池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1.UPS锂电池，单台一体机电脑可续航不小于8小时；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2.电压：12V；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3.输出电压范围：12/19v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4.输入电压：12v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5.电池数量/容量：28节/3200MAH ≥332Wh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28700" cy="1371600"/>
                  <wp:effectExtent l="0" t="0" r="0" b="0"/>
                  <wp:docPr id="8" name="图片 13"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IMG_261"/>
                          <pic:cNvPicPr>
                            <a:picLocks noChangeAspect="1"/>
                          </pic:cNvPicPr>
                        </pic:nvPicPr>
                        <pic:blipFill>
                          <a:blip r:embed="rId9"/>
                          <a:stretch>
                            <a:fillRect/>
                          </a:stretch>
                        </pic:blipFill>
                        <pic:spPr>
                          <a:xfrm>
                            <a:off x="0" y="0"/>
                            <a:ext cx="1028700" cy="1371600"/>
                          </a:xfrm>
                          <a:prstGeom prst="rect">
                            <a:avLst/>
                          </a:prstGeom>
                          <a:noFill/>
                          <a:ln w="9525">
                            <a:noFill/>
                          </a:ln>
                        </pic:spPr>
                      </pic:pic>
                    </a:graphicData>
                  </a:graphic>
                </wp:inline>
              </w:drawing>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无障碍书柜</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规格尺寸：635*300*1500mm±10mm  材质：人造板</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42875" cy="190500"/>
                  <wp:effectExtent l="0" t="0" r="9525" b="0"/>
                  <wp:docPr id="10" name="图片 14"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IMG_262"/>
                          <pic:cNvPicPr>
                            <a:picLocks noChangeAspect="1"/>
                          </pic:cNvPicPr>
                        </pic:nvPicPr>
                        <pic:blipFill>
                          <a:blip r:embed="rId10"/>
                          <a:stretch>
                            <a:fillRect/>
                          </a:stretch>
                        </pic:blipFill>
                        <pic:spPr>
                          <a:xfrm>
                            <a:off x="0" y="0"/>
                            <a:ext cx="142875" cy="190500"/>
                          </a:xfrm>
                          <a:prstGeom prst="rect">
                            <a:avLst/>
                          </a:prstGeom>
                          <a:noFill/>
                          <a:ln w="9525">
                            <a:noFill/>
                          </a:ln>
                        </pic:spPr>
                      </pic:pic>
                    </a:graphicData>
                  </a:graphic>
                </wp:inline>
              </w:drawing>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0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合计：小写：　　　　　元、大写：　　　　　　　　　　元整。</w:t>
            </w:r>
          </w:p>
        </w:tc>
      </w:tr>
    </w:tbl>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00000000" w:usb1="00000000" w:usb2="00000000" w:usb3="00000000" w:csb0="00000000" w:csb1="00000000"/>
  </w:font>
  <w:font w:name="Arial Unicode MS">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9FD0666"/>
    <w:rsid w:val="0A854A2B"/>
    <w:rsid w:val="0ABD57CC"/>
    <w:rsid w:val="0AE87F1A"/>
    <w:rsid w:val="0B59604C"/>
    <w:rsid w:val="0B831F9A"/>
    <w:rsid w:val="0C2D1C9E"/>
    <w:rsid w:val="0C8D7DF3"/>
    <w:rsid w:val="0CAB3131"/>
    <w:rsid w:val="0DF7766E"/>
    <w:rsid w:val="0E4112D9"/>
    <w:rsid w:val="0E737964"/>
    <w:rsid w:val="0E840851"/>
    <w:rsid w:val="0E850C67"/>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2E31C52"/>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064E8B"/>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511968"/>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6">
    <w:name w:val="font61"/>
    <w:basedOn w:val="22"/>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300</Words>
  <Characters>306</Characters>
  <Lines>2</Lines>
  <Paragraphs>1</Paragraphs>
  <TotalTime>3</TotalTime>
  <ScaleCrop>false</ScaleCrop>
  <LinksUpToDate>false</LinksUpToDate>
  <CharactersWithSpaces>375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2026-06-26T07:03:31Z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eyJoZGlkIjoiYzc1ZGQwMGIxN2FiNGZlZGJjNjRjYjM4NTQzNDZmZGYiLCJ1c2VySWQiOiI1ODUxNjczNDQifQ==</vt:lpwstr>
  </property>
</Properties>
</file>