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bookmarkStart w:id="0" w:name="_GoBack"/>
      <w:bookmarkEnd w:id="0"/>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教师档案袋数字化管理系统</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教师档案袋数字化管理系统</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报价为包干价，含税费、运输费、安装费、人工费等一切费用。</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spacing w:line="560" w:lineRule="exact"/>
        <w:jc w:val="both"/>
        <w:rPr>
          <w:rFonts w:hint="eastAsia" w:ascii="Calibri" w:hAnsi="Calibri" w:eastAsia="宋体" w:cs="Times New Roman"/>
          <w:b/>
          <w:bCs/>
          <w:color w:val="000000"/>
          <w:sz w:val="36"/>
          <w:szCs w:val="44"/>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p>
      <w:pPr>
        <w:spacing w:line="579" w:lineRule="exact"/>
        <w:ind w:right="-170" w:rightChars="-81"/>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教师档案袋数字化管理系统</w:t>
      </w:r>
    </w:p>
    <w:p>
      <w:pPr>
        <w:spacing w:line="579" w:lineRule="exact"/>
        <w:jc w:val="center"/>
        <w:rPr>
          <w:rFonts w:ascii="Times New Roman" w:hAnsi="Times New Roman" w:eastAsia="方正仿宋_GBK" w:cs="Times New Roman"/>
          <w:b/>
          <w:color w:val="000000"/>
          <w:sz w:val="32"/>
          <w:szCs w:val="32"/>
        </w:rPr>
      </w:pPr>
    </w:p>
    <w:p>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一、项目基本概况</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本项目包含整套教师档案袋数字化管理系统软件采购、部署、对接调试、人员培训及后期运维服务。</w:t>
      </w:r>
    </w:p>
    <w:p>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二、系统主要功能设置</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本次采购的系统需与学校人事、教务、科研、数据中心等平台完成对接，实现教师档案数据的自动归集与动态更新。主要包含以下1</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个一级功能模块（详见附件技术参数）。</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1.档案袋标准管理。定义档案袋评价框架，支持自定义评价指标、佐证材料清单和评分细则，内置不少于3种标准模板，可按岗位类型和发展阶段分层配置，教师档案按“整体—分类—时间轴”三层结构组织。</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档案袋业务数据盘点。梳理教学工作、师德师风、教研科研、社会服务、学生指导、荣誉获奖、培训研修、企业实践、团队建设与考核等9大业务维度，建立标准化数据治理框架，支持数据分级分类管控和采集模板自定义。</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3.数据中心集成服务。通过API接口对接人事、教务、科研等业务系统，支持数据自动采集，实现采集数据源唯一管控，具备对自动采集的数据进行源头标识能力。</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教师端工作台与AI辅助。为教师提供个人工作台和AI辅助工具。工作台展示档案完整度、待办事项、成长轨迹；AI工具支持多格式文件智能解析与档案快速更新、表格智能填充、教学反思引导，AI功能通过调用第三方大模型API实现。</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教师端档案编制与成果。支持教师档案的AI初始化生成、在线编辑、导出、打印，按“整体—分类—时间轴”三层结构组织，支持版本管理，可自动生成评优评先、年度考核等标准化资料包，实现“一次录入、多次复用”。</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6.教师端教师画像与发展。生成综合画像、成果画像、能力画像与发展轨迹，通过能力差距分析雷达图和SWOT分析，生成分优先级的个人智能发展建议，将职业发展目标拆解为可执行任务清单。</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管理端工作台与数据中心。为管理者提供全校档案建设概览、更新频率对比、优秀档案展示、通知推送；通过业务数据中心实现数据集成监控、明细查询、成果检索、三种导向AI智能查询；通过分析中心构建多维分析引擎，涵盖师资队伍、教学质量、科研成果、成果培育预警、绩效考核等分析模块，支持AI生成数据解读报告。</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教师发展配置。支持学校自定义教师发展路径模型，创建并管理“职称晋升路径”“教师成长路径”“分岗分类路径”等；支持聘期考核动态预警阈值配置，可按专任教师配置差异化的考核指标项及权重，设置“安全、预警、危险”三个刻度及触发条件。</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9.自定义配置中心。支持学校管理员自主定义审批流程，配置多种流程节点和条件分支；支持自定义表单维护，具备多种控件选择；支持智能表单模板配置，可将Word、Excel模板数字化解析并与底层数据字典绑定。</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系统管理及其他。支持校内各业务系统数据自动对接，自动提取组织架构，配置不同层级人员权限；系统数据与教育部最新职业教育数字基座高职标准匹配，达到国家信息安全等级保护二级标准；供应商提供至少3年技术维护服务；系统底层基于快速开发平台架构，支持浏览器在线开发、在线设计页面、在线开发报表、在线编写接口。</w:t>
      </w:r>
    </w:p>
    <w:p>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三、相关配套服务</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1.运维服务。承诺提供不少于3年免费技术运维，包含系统升级、远程故障排查、咨询及二次开发技术支持。免费维护到期后，每年按照不高于采购中标价的10%的比例支付技术维护费用。</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2.数据对接。供应商需免费提供标准接口，完成与学校现有或拟建的数据中心、人事系统、教务系统、科研系统、学工系统等业务系统对接，配合完成数据上报、共享等工作。</w:t>
      </w:r>
    </w:p>
    <w:p>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3.培训服务。供应商须提供免费培训，培训方式包括理论培训和现场培训，针对不同培训对象提出全面、详细的培训计划，所有培训讲师中文授课，并提供培训用文字资料和讲义等相关用品。</w:t>
      </w:r>
    </w:p>
    <w:p>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四、项目预期效益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建成后，将实现三重效益：对教师，通过数据自动同步与AI智能辅助，将教师从事务性填报中解放，生成多维画像，明确发展定位与差距；对管理者，通过全维度数据分析，实时呈现师资队伍结构与成果分布，为考核评价与管理决策提供精准数据支撑；对学校，系统化归集教师参与“金师”培养等建设的过程性材料与成果，形成可追溯、可验证的动态证据体系，有力支撑双高验收与职业大学创建。</w:t>
      </w:r>
    </w:p>
    <w:p>
      <w:pPr>
        <w:adjustRightInd w:val="0"/>
        <w:snapToGrid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五、采购相关事项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采购方式：竞争性磋商。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项目预算：2</w:t>
      </w:r>
      <w:r>
        <w:rPr>
          <w:rFonts w:ascii="仿宋_GB2312" w:hAnsi="仿宋_GB2312" w:eastAsia="仿宋_GB2312" w:cs="仿宋_GB2312"/>
          <w:sz w:val="32"/>
          <w:szCs w:val="32"/>
        </w:rPr>
        <w:t>9.6</w:t>
      </w:r>
      <w:r>
        <w:rPr>
          <w:rFonts w:hint="eastAsia" w:ascii="仿宋_GB2312" w:hAnsi="仿宋_GB2312" w:eastAsia="仿宋_GB2312" w:cs="仿宋_GB2312"/>
          <w:sz w:val="32"/>
          <w:szCs w:val="32"/>
        </w:rPr>
        <w:t>万元。</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付款方式：项目采购合同签订后，支付合同总金额的70%作为预付款；系统全部安装到位并完成调试后进入试运行阶段，试运行7天内支付合同总金额的20%；整体项目经采购人验收合格后，支付合同总金额的10%。成交供应商应在采购人付款前提供符合采购人要求的等额合法有效发票。</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.质保期：自项目验收合格之日起3年（含软件免费维护升级）。</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.交付时间：合同签订后180日内完成系统开发、集成部署、上线运行工作。</w:t>
      </w:r>
    </w:p>
    <w:p>
      <w:pPr>
        <w:spacing w:line="560" w:lineRule="exact"/>
        <w:ind w:firstLine="643" w:firstLineChars="200"/>
        <w:rPr>
          <w:rFonts w:ascii="Times New Roman" w:hAnsi="Times New Roman" w:eastAsia="方正仿宋_GBK" w:cs="Times New Roman"/>
          <w:b/>
          <w:bCs/>
          <w:sz w:val="32"/>
          <w:szCs w:val="32"/>
        </w:rPr>
      </w:pPr>
    </w:p>
    <w:p>
      <w:pPr>
        <w:spacing w:line="560" w:lineRule="exact"/>
        <w:ind w:firstLine="640" w:firstLineChars="200"/>
        <w:rPr>
          <w:rFonts w:hint="eastAsia" w:ascii="Times New Roman" w:hAnsi="Times New Roman" w:eastAsia="方正仿宋_GBK" w:cs="Times New Roman"/>
          <w:sz w:val="28"/>
          <w:szCs w:val="28"/>
          <w:lang w:val="en-US" w:eastAsia="zh-CN"/>
        </w:rPr>
      </w:pPr>
      <w:r>
        <w:rPr>
          <w:rFonts w:hint="eastAsia" w:ascii="Times New Roman" w:hAnsi="Times New Roman" w:eastAsia="方正仿宋_GBK" w:cs="Times New Roman"/>
          <w:sz w:val="32"/>
          <w:szCs w:val="32"/>
        </w:rPr>
        <w:t>达州职业技术学院教师档案袋数字化管理系统建设采购技术参数</w:t>
      </w:r>
      <w:r>
        <w:rPr>
          <w:rFonts w:hint="eastAsia" w:ascii="Times New Roman" w:hAnsi="Times New Roman" w:eastAsia="方正仿宋_GBK" w:cs="Times New Roman"/>
          <w:sz w:val="32"/>
          <w:szCs w:val="32"/>
          <w:lang w:eastAsia="zh-CN"/>
        </w:rPr>
        <w:t>附后</w:t>
      </w: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eastAsia="方正仿宋_GBK"/>
          <w:sz w:val="32"/>
          <w:szCs w:val="32"/>
        </w:rPr>
        <w:sectPr>
          <w:headerReference r:id="rId3" w:type="default"/>
          <w:pgSz w:w="11906" w:h="16838"/>
          <w:pgMar w:top="1701" w:right="1304" w:bottom="1474" w:left="1418" w:header="709" w:footer="1587" w:gutter="0"/>
          <w:cols w:space="720" w:num="1"/>
          <w:docGrid w:type="lines" w:linePitch="312" w:charSpace="0"/>
        </w:sectPr>
      </w:pPr>
      <w:r>
        <w:rPr>
          <w:rFonts w:ascii="Times New Roman" w:hAnsi="Times New Roman" w:eastAsia="方正仿宋_GBK" w:cs="Times New Roman"/>
          <w:sz w:val="32"/>
          <w:szCs w:val="32"/>
        </w:rPr>
        <w:t xml:space="preserve">                                 </w:t>
      </w:r>
    </w:p>
    <w:p>
      <w:pPr>
        <w:spacing w:line="579" w:lineRule="exact"/>
        <w:ind w:firstLine="880" w:firstLineChars="200"/>
        <w:jc w:val="center"/>
        <w:rPr>
          <w:rFonts w:ascii="黑体" w:hAnsi="黑体" w:eastAsia="黑体" w:cs="黑体"/>
          <w:sz w:val="44"/>
          <w:szCs w:val="44"/>
        </w:rPr>
      </w:pPr>
      <w:r>
        <w:rPr>
          <w:rFonts w:hint="eastAsia" w:ascii="黑体" w:hAnsi="黑体" w:eastAsia="黑体" w:cs="黑体"/>
          <w:sz w:val="44"/>
          <w:szCs w:val="44"/>
        </w:rPr>
        <w:t>达州职业技术学院教师档案袋数字化管理系统建设采购技术参数</w:t>
      </w:r>
    </w:p>
    <w:tbl>
      <w:tblPr>
        <w:tblStyle w:val="35"/>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40"/>
        <w:gridCol w:w="640"/>
        <w:gridCol w:w="8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457" w:type="dxa"/>
            <w:vAlign w:val="center"/>
          </w:tcPr>
          <w:p>
            <w:pPr>
              <w:spacing w:line="280" w:lineRule="exact"/>
              <w:jc w:val="center"/>
              <w:rPr>
                <w:rFonts w:ascii="仿宋" w:hAnsi="仿宋" w:eastAsia="仿宋" w:cs="仿宋"/>
                <w:szCs w:val="21"/>
              </w:rPr>
            </w:pPr>
            <w:r>
              <w:rPr>
                <w:rFonts w:hint="eastAsia" w:ascii="仿宋" w:hAnsi="仿宋" w:eastAsia="仿宋" w:cs="仿宋"/>
                <w:szCs w:val="21"/>
              </w:rPr>
              <w:t>编号</w:t>
            </w:r>
          </w:p>
        </w:tc>
        <w:tc>
          <w:tcPr>
            <w:tcW w:w="640" w:type="dxa"/>
            <w:vAlign w:val="center"/>
          </w:tcPr>
          <w:p>
            <w:pPr>
              <w:spacing w:line="280" w:lineRule="exact"/>
              <w:jc w:val="center"/>
              <w:rPr>
                <w:rFonts w:ascii="仿宋" w:hAnsi="仿宋" w:eastAsia="仿宋" w:cs="仿宋"/>
                <w:szCs w:val="21"/>
              </w:rPr>
            </w:pPr>
            <w:r>
              <w:rPr>
                <w:rFonts w:hint="eastAsia" w:ascii="仿宋" w:hAnsi="仿宋" w:eastAsia="仿宋" w:cs="仿宋"/>
                <w:szCs w:val="21"/>
              </w:rPr>
              <w:t>一级</w:t>
            </w:r>
          </w:p>
          <w:p>
            <w:pPr>
              <w:spacing w:line="280" w:lineRule="exact"/>
              <w:jc w:val="center"/>
              <w:rPr>
                <w:rFonts w:ascii="仿宋" w:hAnsi="仿宋" w:eastAsia="仿宋" w:cs="仿宋"/>
                <w:szCs w:val="21"/>
              </w:rPr>
            </w:pPr>
            <w:r>
              <w:rPr>
                <w:rFonts w:hint="eastAsia" w:ascii="仿宋" w:hAnsi="仿宋" w:eastAsia="仿宋" w:cs="仿宋"/>
                <w:szCs w:val="21"/>
              </w:rPr>
              <w:t>模块</w:t>
            </w:r>
          </w:p>
        </w:tc>
        <w:tc>
          <w:tcPr>
            <w:tcW w:w="640" w:type="dxa"/>
            <w:vAlign w:val="center"/>
          </w:tcPr>
          <w:p>
            <w:pPr>
              <w:spacing w:line="280" w:lineRule="exact"/>
              <w:jc w:val="center"/>
              <w:rPr>
                <w:rFonts w:ascii="仿宋" w:hAnsi="仿宋" w:eastAsia="仿宋" w:cs="仿宋"/>
                <w:szCs w:val="21"/>
              </w:rPr>
            </w:pPr>
            <w:r>
              <w:rPr>
                <w:rFonts w:hint="eastAsia" w:ascii="仿宋" w:hAnsi="仿宋" w:eastAsia="仿宋" w:cs="仿宋"/>
                <w:szCs w:val="21"/>
              </w:rPr>
              <w:t>二级</w:t>
            </w:r>
          </w:p>
          <w:p>
            <w:pPr>
              <w:spacing w:line="280" w:lineRule="exact"/>
              <w:jc w:val="center"/>
              <w:rPr>
                <w:rFonts w:ascii="仿宋" w:hAnsi="仿宋" w:eastAsia="仿宋" w:cs="仿宋"/>
                <w:szCs w:val="21"/>
              </w:rPr>
            </w:pPr>
            <w:r>
              <w:rPr>
                <w:rFonts w:hint="eastAsia" w:ascii="仿宋" w:hAnsi="仿宋" w:eastAsia="仿宋" w:cs="仿宋"/>
                <w:szCs w:val="21"/>
              </w:rPr>
              <w:t>模块</w:t>
            </w:r>
          </w:p>
        </w:tc>
        <w:tc>
          <w:tcPr>
            <w:tcW w:w="8225" w:type="dxa"/>
            <w:vAlign w:val="center"/>
          </w:tcPr>
          <w:p>
            <w:pPr>
              <w:spacing w:line="280" w:lineRule="exact"/>
              <w:jc w:val="center"/>
              <w:rPr>
                <w:rFonts w:ascii="仿宋" w:hAnsi="仿宋" w:eastAsia="仿宋" w:cs="仿宋"/>
                <w:szCs w:val="21"/>
              </w:rPr>
            </w:pPr>
            <w:r>
              <w:rPr>
                <w:rFonts w:hint="eastAsia" w:ascii="仿宋" w:hAnsi="仿宋" w:eastAsia="仿宋" w:cs="仿宋"/>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1</w:t>
            </w:r>
          </w:p>
        </w:tc>
        <w:tc>
          <w:tcPr>
            <w:tcW w:w="640"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档案袋标准管理</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1.支持创建教师档案袋评价指标，指标根据档案袋一级标题设计佐证材料清单和评分细则。</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2.平台设有评价指标中心，对学校各层级人员创建的评价指标进行统一管理。</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3.支持档案袋模板创建，创建时可进行评价指标关联。</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4.平台可对标准模板进行统一管理，内置不少于3种标准档案袋指标模板。</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5.支持根据教师岗位类型（专业课教师、公共课教师、教辅人员等）和发展阶段（初级、中级、高级职称）对档案袋标准进行分层分类细化，明确各层级能力要求与对应指标权重。</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6.支持以“整体档案—分类档案—时间轴档案”三层结构划分，系统化、结构化记录教师专业发展历程。</w:t>
            </w:r>
          </w:p>
          <w:p>
            <w:pPr>
              <w:widowControl/>
              <w:spacing w:line="360" w:lineRule="exact"/>
              <w:jc w:val="left"/>
              <w:rPr>
                <w:rFonts w:ascii="仿宋" w:hAnsi="仿宋" w:eastAsia="仿宋" w:cs="仿宋"/>
                <w:szCs w:val="21"/>
              </w:rPr>
            </w:pPr>
            <w:r>
              <w:rPr>
                <w:rFonts w:hint="eastAsia" w:ascii="仿宋" w:hAnsi="仿宋" w:eastAsia="仿宋" w:cs="仿宋"/>
                <w:color w:val="0F1115"/>
                <w:kern w:val="0"/>
                <w:sz w:val="22"/>
                <w:szCs w:val="22"/>
                <w:lang w:bidi="ar"/>
              </w:rPr>
              <w:t>7.本模块定义档案袋的评价框架，具体的数据采集表单和业务维度由模块2盘点确定。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2</w:t>
            </w:r>
          </w:p>
        </w:tc>
        <w:tc>
          <w:tcPr>
            <w:tcW w:w="640"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档案袋业务数据盘点</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1.系统性梳理教师档案袋核心业务维度，至少涵盖：教学工作、师德师风、教研科研、社会服务、学生指导、荣誉获奖、培训研修、企业实践、团队建设与考核等模块。</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2.建立标准化数据治理框架和数据校验机制，明确各业务表单的采集范围、业务责任归属、数据认定流程。</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3.支持动态自定义数据采集模板，确保档案内容与院校管理需求精准匹配。</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4.支持数据字典自主维护，可在线完成档案数据指标的新增、修改、停用、删除操作。</w:t>
            </w:r>
          </w:p>
          <w:p>
            <w:pPr>
              <w:widowControl/>
              <w:spacing w:line="360" w:lineRule="exact"/>
              <w:jc w:val="left"/>
              <w:rPr>
                <w:rFonts w:ascii="仿宋" w:hAnsi="仿宋" w:eastAsia="仿宋" w:cs="仿宋"/>
                <w:szCs w:val="21"/>
              </w:rPr>
            </w:pPr>
            <w:r>
              <w:rPr>
                <w:rFonts w:hint="eastAsia" w:ascii="仿宋" w:hAnsi="仿宋" w:eastAsia="仿宋" w:cs="仿宋"/>
                <w:color w:val="0F1115"/>
                <w:kern w:val="0"/>
                <w:sz w:val="22"/>
                <w:szCs w:val="22"/>
                <w:lang w:bidi="ar"/>
              </w:rPr>
              <w:t>5.支持按数据来源对档案数据进行分类管控，区分业务系统同步数据（不可编辑）、教师填报审核数据（需审核后入档）、教师自主沉淀数据（免审核），三类数据以不同标识区分，权限与流转规则差异化配置。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3</w:t>
            </w:r>
          </w:p>
        </w:tc>
        <w:tc>
          <w:tcPr>
            <w:tcW w:w="640"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数据中心集成服务</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1.支持通过标准API接口对接人事、教务、科研、学工等业务系统，实现教师基础信息、教学行为、科研项目等结构化数据的自动归集与动态更新（需对方开放并提供标准接口）。</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2.支持数据库直连方式，安全连接并抽取主流数据库（Oracle、MySQL、SQL Server、PostgreSQL等）中的数据。</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3.支持文件批量导入，兼容Excel（XLS/XLSX）、CSV等格式，提供模板下载、数据预校验和错误报告。</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4.支持数据自动采集，实现采集数据源唯一管控，同一业务数据仅从指定源头采集，防止多源重复采集造成数据冲突。</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5.支持对自动采集的数据进行源头标识，系统可识别每条采集数据对应的数据来源。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4</w:t>
            </w:r>
          </w:p>
        </w:tc>
        <w:tc>
          <w:tcPr>
            <w:tcW w:w="640" w:type="dxa"/>
            <w:vMerge w:val="restart"/>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教师端工作台与AI辅助</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个人工作台</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1.展示教师档案袋核心指标数据，包括档案完整度、已入档数据项、待审核数据项、最近更新时间等，支持对标全校平均值显示教师在各维度的成长进度和档案建设等级。</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通过对接学校数据中心，自动汇聚并分类展示教师在基础信息、师德师风、教学工作、教研科研、社会服务、学生指导、荣誉获奖、培训研修、企业实践、团队建设与考核等维度的完整业务数据，形成全面、实时的个人职业画像。其中基础信息、组织机构等数据从人事系统采集，本系统仅做展示。</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3.提供常用功能快捷入口，包含个人数据、智能填写、教学反思记录、教师档案、成果资料等。</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4.展示待办事项列表，包含事项名称、截止时间、状态等，支持点击跳转；同步展示预警事项，包括聘期任务进度预警、档案数据缺失预警等。</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5.展示成长建议、档案更新提醒、学校最新动态等。</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6.支持以教师个人为主线，按时间轴展示教师职业生涯关键事件，包括入职、转正、职称晋升、重要获奖、培训进修、企业实践等，形成连贯的教师个人成长轨迹。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AI智能录入</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7.支持PDF、Word、Excel、图片等多格式文件的拖拽上传，系统通过AI能力自动解析文件内容，提取关键信息并分类填充至档案袋相应模块。</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8.教师上传的荣誉证书、科研论文、专利著作等材料，经AI识别后自动匹配至教科研项目、专利成果等对应栏目，并生成审核建议供教师确认。</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9.支持批量上传与解析，系统按优先级依次处理。</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10.支持教师拖拽上传表格模板（Word或Excel格式），AI智能解析模板中的关键字段，自动匹配档案袋中已有的对应数据完成填充。</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11.页面展示最近填写的表格记录，支持查看历史版本与复用表格；支持预置校内常用表单模板。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AI教学辅助</w:t>
            </w:r>
          </w:p>
        </w:tc>
        <w:tc>
          <w:tcPr>
            <w:tcW w:w="8225" w:type="dxa"/>
            <w:vAlign w:val="center"/>
          </w:tcPr>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本模块围绕“教学反思”形成闭环：教师记录反思→发起课后调查→AI分析反馈→教师结合反馈深化反思。</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（一）AI教学反思</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12.支持打字、语音、上传附件等多种方式输入教学心得与问题；AI对输入信息进行智能汇总，形成汇总结果、智能建议及记录标签。</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13.支持开启智能引导反思，AI以对话形式提供引导，通过多轮互动帮助教师梳理问题、提炼经验，提供智能建议。</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14.支持显示教师最近记录及趋势分析，支持多时间维度（周、月、年）切换与数据可视化图形展示。</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15.支持三层递进式反思：日常记录积累素材、学期总结生成报告、长期发展优化路径。</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（二）模块说明</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16.本模块AI功能为过程性辅助工具，生成的档案内容自动流转至模块5进行档案编制和管理。</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17.本模块AI功能通过调用第三方大模型API实现，不涉及本地化大模型部署；AI生成内容仅供参考，教师需自行核实确认后入档。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76" w:hRule="atLeast"/>
        </w:trPr>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5</w:t>
            </w:r>
          </w:p>
        </w:tc>
        <w:tc>
          <w:tcPr>
            <w:tcW w:w="640" w:type="dxa"/>
            <w:vMerge w:val="restart"/>
            <w:shd w:val="clear" w:color="auto" w:fill="auto"/>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教师端档案编制与成果</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三层档案编制与版本管理</w:t>
            </w:r>
          </w:p>
        </w:tc>
        <w:tc>
          <w:tcPr>
            <w:tcW w:w="8225" w:type="dxa"/>
            <w:shd w:val="clear" w:color="auto" w:fill="auto"/>
          </w:tcPr>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1.支持教师档案的AI初始化生成、在线编辑、AI修改、导出、打印等操作；按照“整体档案—分类档案—时间轴档案”三层结构划分，系统化、结构化记录教师专业发展历程。</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2.整体档案呈现档案完整度与核心指标；分类档案按教学工作、师德师风、教研科研、社会服务、学生指导、荣誉获奖、培训研修、企业实践、团队建设与考核等业务类型归集教师全维度数据；时间轴档案按时间顺序呈现教师职业生涯关键事件，形成连贯的教师个人成长轨迹。</w:t>
            </w:r>
          </w:p>
          <w:p>
            <w:pPr>
              <w:widowControl/>
              <w:spacing w:line="360" w:lineRule="exact"/>
              <w:jc w:val="left"/>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3.支持档案袋版本管理，档案提交后生成不可修改的唯一版本；后续修改自动留存版本修订记录，审核人可查看历史版本。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trPr>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shd w:val="clear" w:color="auto" w:fill="auto"/>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成果资料生成</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4.基于档案袋动态归集的教师全过程数据，通过智能标签与场景规则，自动生成评优评先、年度考核等特定业务所需的标准化资料包。</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5.智能筛选并归类相关成果材料，以可视化进度形式清晰展示材料完备状态，标识缺失项。</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6.实现“一次录入、多次复用”。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6</w:t>
            </w:r>
          </w:p>
        </w:tc>
        <w:tc>
          <w:tcPr>
            <w:tcW w:w="640" w:type="dxa"/>
            <w:vMerge w:val="restart"/>
            <w:shd w:val="clear" w:color="auto" w:fill="auto"/>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教师端教师画像与发展</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教师画像</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1.基于档案袋全量数据，为教师生成直观、全面的个人数据全景视图，包含综合画像、成果画像、能力画像与发展轨迹四大模块。</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2.综合画像动态展示教学工作量、科研成果、获得荣誉等核心指标及综合排名。</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3.成果画像集中呈现论文、项目、专利等标志性成果及与院系均值的对比分析。</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4.能力画像构建多维度评价模型，生成能力得分与雷达图，提供细分改进建议。</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发展轨迹以时间轴动态呈现教师职业生涯关键事件，包括职称晋升、重要获奖、培训进修、企业实践等，形成连贯的个人成长历程，与模块5“时间轴档案”的结构化归档形成互补（本模块侧重可视化展示，模块5侧重归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shd w:val="clear" w:color="auto" w:fill="auto"/>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发展分析与建议</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6.通过“能力差距分析雷达图”将教师个人当前水平与目标职级要求进行可视化比对，清晰揭示各维度差距。</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7.结合SWOT分析模块，系统自动识别教师个人优势、劣势、机会、威胁，形成对教师个人发展态势的综合判断。</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8.系统生成分优先级的教师个人智能发展建议，将宏观的职业发展目标拆解为具体、可执行的任务清单。</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9.本模块分析对象为教师个人，全校教师群体分析功能由模块7和模块8承担。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7</w:t>
            </w:r>
          </w:p>
        </w:tc>
        <w:tc>
          <w:tcPr>
            <w:tcW w:w="640" w:type="dxa"/>
            <w:vMerge w:val="restart"/>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管理端工作台与数据中心</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管理端工作台</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1.全面呈现全校教师档案袋建设的整体情况与核心操作入口。</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2.展示最近访问的教师档案记录，方便管理员快速回溯重点关注的档案。</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3.通过图表展示档案更新频率对比，按院系、专业分类呈现，直观识别档案建设进度较慢的单位。</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4.设置优秀教师档案展示区，系统基于档案完整性、成果质量自动推荐优秀档案。</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5.提供数据概览仪表盘及快速导航入口。</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支持通知的精准定向发送，管理员可通过按人员定向、按部门定向、按院系定向等方式自定义阅读人群；通知列表展示核心信息，包含状态提醒（未读/已读）、类型展示、内容概览等；支持企业微信同步获取通知类消息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业务与数据中心</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7.通过可视化数据卡片总览面板，集中展示教师各业务维度的表单数据集成概况；实时呈现各表单的启用状态、数据总量、本月新增、待审核数量及审核通过率等关键指标。</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8.提供深入各业务表单的明细数据列表页面，支持按条件筛选、查看详情、数据核对与统计，并可进行数据的导入、导出等操作。</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9.基于教师档案中的成果类数据，构建成果中心，为用户提供个性化且高效的成果检索服务；支持按成果类型、成果所属业务领域、成果级别以及成果时间范围等条件进行精准检索或模糊查询。</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10.提供三种导向的智能查询方式：结果导向查询（以“人”为核心，输入查询条件，AI自动检索匹配的教师档案并标注匹配度评分）；任务导向查询（以“工作任务”为核心，AI分析任务需求并从全校档案中推荐符合要求的教师，列出推荐理由）；问题导向查询（以“发现问题”为核心，AI自动识别存在对应问题的教师，分析问题原因，并给出初步帮扶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分析中心</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11.汇聚全维度数据，构建多维分析引擎，深度挖掘档案数据价值。至少涵盖以下分析模块：师资队伍建设类（师资队伍结构分析、双师型教师队伍建设分析等）、教学质量提升类（教学质量综合评价分析、教师教学能力与发展分析等）、科研成果类（科研产出与影响力分析等）、成果培育与预警类（标志性成果达成情况分析等）、绩效考核优化类（教师工作量与绩效分析等）。</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12.通过动态可视化图表、趋势对比与深度剖析，实时呈现全校师资队伍结构、成果分布与发展态势，精准定位优势与薄弱环节。</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13.支持AI智能分析并生成师资队伍结构分析数据解读报告。</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14.本模块分析对象为全校教师群体，教师个人画像与发展分析由模块6承担。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8</w:t>
            </w:r>
          </w:p>
        </w:tc>
        <w:tc>
          <w:tcPr>
            <w:tcW w:w="640" w:type="dxa"/>
            <w:vMerge w:val="restart"/>
            <w:shd w:val="clear" w:color="auto" w:fill="auto"/>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教师发展配置</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发展路径管理</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1.支持学校自定义多元化教师发展路径模型，构建灵活的职业发展通道。</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2.支持创建并管理“职称晋升路径”“教师成长路径”及“分岗分类路径”等多类发展路径。</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3.各类路径均可通过可视化工具定义其发展阶段、顺序及各阶段具体要求。</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4.基于教师档案袋中的教龄、成果等历史数据，系统自动匹配、标定教师所处的发展阶段。</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5.支持将教师个人数据与学校设定的发展标准进行精准对标，生成差距分析热力图。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shd w:val="clear" w:color="auto" w:fill="auto"/>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聘期预警配置</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6.聘期考核动态预警阈值配置：可按专任教师配置差异化的聘期考核指标项及权重，并支持为每个考核项配置“安全、预警、危险”三个刻度及触发条件。</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7.本模块分析对象为全校教师群体及学校发展标准，教师个人发展分析由模块6承担。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restart"/>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9</w:t>
            </w:r>
          </w:p>
        </w:tc>
        <w:tc>
          <w:tcPr>
            <w:tcW w:w="640" w:type="dxa"/>
            <w:vMerge w:val="restart"/>
            <w:shd w:val="clear" w:color="auto" w:fill="auto"/>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自定义配置中心</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流程审批引擎</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1.支持学校管理员自主定义、配置、调整审批流程，适配岗位聘任、人才项目申报、档案数据审核等各类业务场景的审批需求。</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2.支持多种流程节点配置，包括发起节点、审批节点、会签节点、或签节点、抄送节点、条件分支节点、结束节点。</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3.支持条件分支流程配置，可根据数据字段值自动流转至对应审批路径。</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4.支持丰富的审批操作，包括同意、驳回、退回修改、转交、加签、减签、撤回、催办等。</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5.支持审批流程与档案数据深度关联，审批通过的数据自动归档至教师个人档案。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Merge w:val="continue"/>
            <w:vAlign w:val="center"/>
          </w:tcPr>
          <w:p>
            <w:pPr>
              <w:widowControl/>
              <w:spacing w:line="360" w:lineRule="exact"/>
              <w:jc w:val="center"/>
              <w:rPr>
                <w:rFonts w:ascii="仿宋" w:hAnsi="仿宋" w:eastAsia="仿宋" w:cs="仿宋"/>
                <w:color w:val="0F1115"/>
                <w:kern w:val="0"/>
                <w:sz w:val="22"/>
                <w:szCs w:val="22"/>
                <w:lang w:bidi="ar"/>
              </w:rPr>
            </w:pPr>
          </w:p>
        </w:tc>
        <w:tc>
          <w:tcPr>
            <w:tcW w:w="640" w:type="dxa"/>
            <w:vMerge w:val="continue"/>
            <w:shd w:val="clear" w:color="auto" w:fill="auto"/>
            <w:vAlign w:val="center"/>
          </w:tcPr>
          <w:p>
            <w:pPr>
              <w:widowControl/>
              <w:spacing w:line="360" w:lineRule="exact"/>
              <w:jc w:val="center"/>
              <w:rPr>
                <w:rFonts w:ascii="仿宋" w:hAnsi="仿宋" w:eastAsia="仿宋" w:cs="仿宋"/>
                <w:color w:val="0F1115"/>
                <w:kern w:val="0"/>
                <w:sz w:val="22"/>
                <w:szCs w:val="22"/>
                <w:lang w:bidi="ar"/>
              </w:rPr>
            </w:pP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自定义表单</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6.支持系统后台管理进行自定义表单维护，自定义表单创建具备多元控件选择模块，具备单行输入、多行输入、数字输入、开关、单选框组、多选框组、日期选择、文件上传、评分、富文本等多种形式控件。</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7.支持评审、竞赛等功能对已创建表单进行选择，保障评审、竞赛等功能灵活性；系统根据评审、竞赛等功能模块所选自定义表单对系统现存数据自动获取。</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8.智能表单模板配置：支持Word、Excel等格式模板数字化解析，自动识别表格结构，生成可视化电子表单，并可将电子表单的每个单元格与底层数据字典进行绑定。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widowControl/>
              <w:spacing w:line="360" w:lineRule="exact"/>
              <w:jc w:val="center"/>
              <w:rPr>
                <w:rFonts w:ascii="仿宋" w:hAnsi="仿宋" w:eastAsia="仿宋" w:cs="仿宋"/>
                <w:szCs w:val="21"/>
              </w:rPr>
            </w:pPr>
            <w:r>
              <w:rPr>
                <w:rFonts w:hint="eastAsia" w:ascii="仿宋" w:hAnsi="仿宋" w:eastAsia="仿宋" w:cs="仿宋"/>
                <w:color w:val="0F1115"/>
                <w:kern w:val="0"/>
                <w:sz w:val="22"/>
                <w:szCs w:val="22"/>
                <w:lang w:bidi="ar"/>
              </w:rPr>
              <w:t>10</w:t>
            </w:r>
          </w:p>
        </w:tc>
        <w:tc>
          <w:tcPr>
            <w:tcW w:w="640" w:type="dxa"/>
            <w:shd w:val="clear" w:color="auto" w:fill="auto"/>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系统管理与其他</w:t>
            </w:r>
          </w:p>
        </w:tc>
        <w:tc>
          <w:tcPr>
            <w:tcW w:w="640" w:type="dxa"/>
            <w:vAlign w:val="center"/>
          </w:tcPr>
          <w:p>
            <w:pPr>
              <w:widowControl/>
              <w:spacing w:line="360" w:lineRule="exact"/>
              <w:jc w:val="center"/>
              <w:rPr>
                <w:rFonts w:ascii="仿宋" w:hAnsi="仿宋" w:eastAsia="仿宋" w:cs="仿宋"/>
                <w:color w:val="0F1115"/>
                <w:kern w:val="0"/>
                <w:sz w:val="22"/>
                <w:szCs w:val="22"/>
                <w:lang w:bidi="ar"/>
              </w:rPr>
            </w:pPr>
            <w:r>
              <w:rPr>
                <w:rFonts w:hint="eastAsia" w:ascii="仿宋" w:hAnsi="仿宋" w:eastAsia="仿宋" w:cs="仿宋"/>
                <w:color w:val="0F1115"/>
                <w:kern w:val="0"/>
                <w:sz w:val="22"/>
                <w:szCs w:val="22"/>
                <w:lang w:bidi="ar"/>
              </w:rPr>
              <w:t>——</w:t>
            </w:r>
          </w:p>
        </w:tc>
        <w:tc>
          <w:tcPr>
            <w:tcW w:w="8225" w:type="dxa"/>
            <w:shd w:val="clear" w:color="auto" w:fill="auto"/>
            <w:vAlign w:val="center"/>
          </w:tcPr>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1.支持</w:t>
            </w:r>
            <w:r>
              <w:rPr>
                <w:rFonts w:hint="eastAsia" w:ascii="仿宋" w:hAnsi="仿宋" w:eastAsia="仿宋" w:cs="仿宋"/>
                <w:color w:val="0F1115"/>
                <w:kern w:val="0"/>
                <w:sz w:val="22"/>
                <w:szCs w:val="22"/>
                <w:lang w:bidi="ar"/>
              </w:rPr>
              <w:t>校内各业务</w:t>
            </w:r>
            <w:r>
              <w:rPr>
                <w:rFonts w:ascii="仿宋" w:hAnsi="仿宋" w:eastAsia="仿宋" w:cs="仿宋"/>
                <w:color w:val="0F1115"/>
                <w:kern w:val="0"/>
                <w:sz w:val="22"/>
                <w:szCs w:val="22"/>
                <w:lang w:bidi="ar"/>
              </w:rPr>
              <w:t>系统数据自动对接，实现数据自动化清洗、分析流程；自动提取组织架构及组织层级，保障数据准确率≥90%。</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2.准确定位教师及管理人员所属组织，自动匹配所属二级学院/部门。</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3.系统后台管理支持不同层级人员权限维护模组，院校管理可针对下属层级进行权限分配。</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4.支持学校管理员自主维护档案数据字典，可在线完成档案数据指标的新增、修改、停用、删除操作，无需厂商修改系统代码或进行二次开发。</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5.支持按教师岗位类型、发展阶段等维度配置差异化的档案袋查看与编辑权限。</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6.系统数据必须与教育部发布的最新职业教育数字基座高职标准和接口规范相匹配。</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7.系统建设需达到国家信息安全等级保护二级标准。</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8.系统建设的软件环境由供应商提供。</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9.供应商对采购清单软件部分提供至少3年的技术维护服务，包括系统升级、远程诊断、系统管理咨询、二次开发技术支持等服务。免费维护到期后，每年按照不高于采购中标价的10%的比例支付技术维护费用。</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10.业务系统厂商需要根据学校的需求及要求，以数据中心间库、视图、或API接口的方式免费接入学校现有数据中心平台，免费提供数据共享服务与接口对接过程，配合学校数据上报、数据共享等相关工作。</w:t>
            </w:r>
          </w:p>
          <w:p>
            <w:pPr>
              <w:widowControl/>
              <w:spacing w:line="360" w:lineRule="exact"/>
              <w:jc w:val="left"/>
              <w:rPr>
                <w:rFonts w:ascii="仿宋" w:hAnsi="仿宋" w:eastAsia="仿宋" w:cs="仿宋"/>
                <w:color w:val="0F1115"/>
                <w:kern w:val="0"/>
                <w:sz w:val="22"/>
                <w:szCs w:val="22"/>
                <w:lang w:bidi="ar"/>
              </w:rPr>
            </w:pPr>
            <w:r>
              <w:rPr>
                <w:rFonts w:ascii="仿宋" w:hAnsi="仿宋" w:eastAsia="仿宋" w:cs="仿宋"/>
                <w:color w:val="0F1115"/>
                <w:kern w:val="0"/>
                <w:sz w:val="22"/>
                <w:szCs w:val="22"/>
                <w:lang w:bidi="ar"/>
              </w:rPr>
              <w:t>11.为了快速满足系统的个性化需求，系统底层需要基于快速开发平台架构；在不升级系统的情况下，支持浏览器进行在线开发、在线设计页面、在线开发报表、在线编写接口。</w:t>
            </w:r>
          </w:p>
        </w:tc>
      </w:tr>
    </w:tbl>
    <w:p>
      <w:pPr>
        <w:spacing w:line="579" w:lineRule="exact"/>
        <w:rPr>
          <w:rFonts w:ascii="Times New Roman" w:hAnsi="Times New Roman" w:eastAsia="方正仿宋_GBK" w:cs="Times New Roman"/>
          <w:sz w:val="32"/>
          <w:szCs w:val="32"/>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script"/>
    <w:pitch w:val="default"/>
    <w:sig w:usb0="00000000" w:usb1="00000000" w:usb2="00000000" w:usb3="00000000" w:csb0="00000000" w:csb1="00000000"/>
  </w:font>
  <w:font w:name="方正仿宋_GBK">
    <w:panose1 w:val="03000509000000000000"/>
    <w:charset w:val="86"/>
    <w:family w:val="script"/>
    <w:pitch w:val="default"/>
    <w:sig w:usb0="00000000" w:usb1="00000000" w:usb2="00000000" w:usb3="00000000" w:csb0="00000000" w:csb1="00000000"/>
  </w:font>
  <w:font w:name="Arial Unicode MS">
    <w:panose1 w:val="020B0604020202020204"/>
    <w:charset w:val="86"/>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864384C"/>
    <w:rsid w:val="497154DF"/>
    <w:rsid w:val="49930CA0"/>
    <w:rsid w:val="4A364969"/>
    <w:rsid w:val="4B3710C6"/>
    <w:rsid w:val="4C5338DC"/>
    <w:rsid w:val="4C661EAD"/>
    <w:rsid w:val="4C8E350F"/>
    <w:rsid w:val="4C967C71"/>
    <w:rsid w:val="4D143759"/>
    <w:rsid w:val="4DF14748"/>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2</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2026-09-30T07:00:00Z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