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采购项目</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凤北校区图书馆阅览室翻新</w:t>
      </w: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12</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9</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1037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039"/>
        <w:gridCol w:w="43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039"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4370"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936"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kern w:val="2"/>
                <w:sz w:val="28"/>
                <w:szCs w:val="28"/>
                <w:lang w:val="en-US" w:eastAsia="zh-CN" w:bidi="ar"/>
              </w:rPr>
              <w:t>凤北校区图书馆阅览室翻新</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039"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43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如供应商为本项目提供的所有产品中有属于《强制性产品认证目录》范围内产品的，均应通过国家强制性产品认证并取得认证证书或经过强制性认证产品符合性自我声明。（</w:t>
            </w:r>
            <w:r>
              <w:rPr>
                <w:rFonts w:hint="eastAsia" w:asciiTheme="minorEastAsia" w:hAnsiTheme="minorEastAsia" w:cstheme="minorEastAsia"/>
                <w:sz w:val="21"/>
                <w:szCs w:val="21"/>
                <w:lang w:eastAsia="zh-CN"/>
              </w:rPr>
              <w:t>签订合同</w:t>
            </w:r>
            <w:r>
              <w:rPr>
                <w:rFonts w:hint="eastAsia" w:asciiTheme="minorEastAsia" w:hAnsiTheme="minorEastAsia" w:eastAsiaTheme="minorEastAsia" w:cstheme="minorEastAsia"/>
                <w:sz w:val="21"/>
                <w:szCs w:val="21"/>
              </w:rPr>
              <w:t>时须提供产品对应的有效的“CCC”认证证书或经过强制性认证产品符合性自我声明扫描件并加盖供应商公章）。供应商为本项目提供的所有产品应符合现行的强制性国家相关标准、行业标准。</w:t>
            </w: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8095"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8095"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8095"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　备注: 1、报价表请用pdf格式上传至邮箱。</w:t>
      </w:r>
    </w:p>
    <w:p>
      <w:pPr>
        <w:keepNext w:val="0"/>
        <w:keepLines w:val="0"/>
        <w:pageBreakBefore w:val="0"/>
        <w:widowControl w:val="0"/>
        <w:kinsoku/>
        <w:wordWrap/>
        <w:overflowPunct/>
        <w:topLinePunct w:val="0"/>
        <w:autoSpaceDE/>
        <w:autoSpaceDN/>
        <w:bidi w:val="0"/>
        <w:adjustRightInd/>
        <w:snapToGrid/>
        <w:spacing w:line="380" w:lineRule="exact"/>
        <w:ind w:firstLine="723" w:firstLineChars="40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2、报价为包干价，含税费、运输费、安装费、人工费等一切费用。</w:t>
      </w:r>
    </w:p>
    <w:p>
      <w:pPr>
        <w:pStyle w:val="2"/>
        <w:numPr>
          <w:ilvl w:val="0"/>
          <w:numId w:val="0"/>
        </w:numPr>
        <w:ind w:firstLine="723" w:firstLineChars="400"/>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此报价必须单价、总价都要报</w:t>
      </w:r>
      <w:r>
        <w:rPr>
          <w:rFonts w:hint="eastAsia" w:ascii="宋体" w:hAnsi="宋体" w:cs="宋体"/>
          <w:b/>
          <w:bCs/>
          <w:sz w:val="18"/>
          <w:szCs w:val="18"/>
          <w:lang w:val="en-US" w:eastAsia="zh-CN"/>
        </w:rPr>
        <w:t>。</w:t>
      </w:r>
    </w:p>
    <w:p>
      <w:pPr>
        <w:rPr>
          <w:rFonts w:hint="eastAsia" w:eastAsia="宋体"/>
          <w:lang w:val="en-US" w:eastAsia="zh-CN"/>
        </w:rPr>
      </w:pPr>
      <w:r>
        <w:rPr>
          <w:rFonts w:hint="eastAsia" w:ascii="宋体" w:hAnsi="宋体" w:eastAsia="宋体" w:cs="宋体"/>
          <w:b/>
          <w:bCs/>
          <w:sz w:val="18"/>
          <w:szCs w:val="18"/>
          <w:lang w:val="en-US" w:eastAsia="zh-CN"/>
        </w:rPr>
        <w:t>　      4、供应商的报价商品有品牌、型号的，需在品牌一栏填写其报价商品品牌及型号。</w:t>
      </w:r>
    </w:p>
    <w:p>
      <w:pPr>
        <w:numPr>
          <w:ilvl w:val="0"/>
          <w:numId w:val="0"/>
        </w:numPr>
        <w:rPr>
          <w:rFonts w:hint="default"/>
          <w:lang w:val="en-US" w:eastAsia="zh-CN"/>
        </w:rPr>
      </w:pPr>
      <w:r>
        <w:rPr>
          <w:rFonts w:hint="eastAsia"/>
          <w:lang w:val="en-US" w:eastAsia="zh-CN"/>
        </w:rPr>
        <w:t>　　　</w:t>
      </w: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118" w:type="dxa"/>
        <w:tblInd w:w="0" w:type="dxa"/>
        <w:shd w:val="clear" w:color="auto" w:fill="auto"/>
        <w:tblLayout w:type="fixed"/>
        <w:tblCellMar>
          <w:top w:w="0" w:type="dxa"/>
          <w:left w:w="0" w:type="dxa"/>
          <w:bottom w:w="0" w:type="dxa"/>
          <w:right w:w="0" w:type="dxa"/>
        </w:tblCellMar>
      </w:tblPr>
      <w:tblGrid>
        <w:gridCol w:w="320"/>
        <w:gridCol w:w="592"/>
        <w:gridCol w:w="359"/>
        <w:gridCol w:w="1193"/>
        <w:gridCol w:w="3432"/>
        <w:gridCol w:w="679"/>
        <w:gridCol w:w="679"/>
        <w:gridCol w:w="975"/>
        <w:gridCol w:w="642"/>
        <w:gridCol w:w="642"/>
        <w:gridCol w:w="605"/>
      </w:tblGrid>
      <w:tr>
        <w:tblPrEx>
          <w:shd w:val="clear" w:color="auto" w:fill="auto"/>
          <w:tblLayout w:type="fixed"/>
          <w:tblCellMar>
            <w:top w:w="0" w:type="dxa"/>
            <w:left w:w="0" w:type="dxa"/>
            <w:bottom w:w="0" w:type="dxa"/>
            <w:right w:w="0" w:type="dxa"/>
          </w:tblCellMar>
        </w:tblPrEx>
        <w:trPr>
          <w:trHeight w:val="500" w:hRule="atLeast"/>
        </w:trPr>
        <w:tc>
          <w:tcPr>
            <w:tcW w:w="10118" w:type="dxa"/>
            <w:gridSpan w:val="11"/>
            <w:tcBorders>
              <w:top w:val="nil"/>
              <w:left w:val="nil"/>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b/>
                <w:i w:val="0"/>
                <w:color w:val="000000"/>
                <w:sz w:val="32"/>
                <w:szCs w:val="32"/>
                <w:u w:val="none"/>
              </w:rPr>
            </w:pP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7705" cy="3175"/>
                  <wp:effectExtent l="0" t="0" r="0" b="0"/>
                  <wp:wrapNone/>
                  <wp:docPr id="8" name="图片_3"/>
                  <wp:cNvGraphicFramePr/>
                  <a:graphic xmlns:a="http://schemas.openxmlformats.org/drawingml/2006/main">
                    <a:graphicData uri="http://schemas.openxmlformats.org/drawingml/2006/picture">
                      <pic:pic xmlns:pic="http://schemas.openxmlformats.org/drawingml/2006/picture">
                        <pic:nvPicPr>
                          <pic:cNvPr id="8" name="图片_3"/>
                          <pic:cNvPicPr/>
                        </pic:nvPicPr>
                        <pic:blipFill>
                          <a:blip r:link="rId4"/>
                          <a:stretch>
                            <a:fillRect/>
                          </a:stretch>
                        </pic:blipFill>
                        <pic:spPr>
                          <a:xfrm>
                            <a:off x="0" y="0"/>
                            <a:ext cx="3227705" cy="317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3229610" cy="1270"/>
                  <wp:effectExtent l="0" t="0" r="0" b="0"/>
                  <wp:wrapNone/>
                  <wp:docPr id="7" name="图片_5"/>
                  <wp:cNvGraphicFramePr/>
                  <a:graphic xmlns:a="http://schemas.openxmlformats.org/drawingml/2006/main">
                    <a:graphicData uri="http://schemas.openxmlformats.org/drawingml/2006/picture">
                      <pic:pic xmlns:pic="http://schemas.openxmlformats.org/drawingml/2006/picture">
                        <pic:nvPicPr>
                          <pic:cNvPr id="7" name="图片_5"/>
                          <pic:cNvPicPr/>
                        </pic:nvPicPr>
                        <pic:blipFill>
                          <a:blip r:link="rId5"/>
                          <a:stretch>
                            <a:fillRect/>
                          </a:stretch>
                        </pic:blipFill>
                        <pic:spPr>
                          <a:xfrm>
                            <a:off x="0" y="0"/>
                            <a:ext cx="3229610" cy="127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2698750</wp:posOffset>
                  </wp:positionH>
                  <wp:positionV relativeFrom="paragraph">
                    <wp:posOffset>0</wp:posOffset>
                  </wp:positionV>
                  <wp:extent cx="2147570" cy="4445"/>
                  <wp:effectExtent l="0" t="0" r="0" b="0"/>
                  <wp:wrapNone/>
                  <wp:docPr id="6" name="图片_1"/>
                  <wp:cNvGraphicFramePr/>
                  <a:graphic xmlns:a="http://schemas.openxmlformats.org/drawingml/2006/main">
                    <a:graphicData uri="http://schemas.openxmlformats.org/drawingml/2006/picture">
                      <pic:pic xmlns:pic="http://schemas.openxmlformats.org/drawingml/2006/picture">
                        <pic:nvPicPr>
                          <pic:cNvPr id="6" name="图片_1"/>
                          <pic:cNvPicPr/>
                        </pic:nvPicPr>
                        <pic:blipFill>
                          <a:blip r:link="rId6"/>
                          <a:stretch>
                            <a:fillRect/>
                          </a:stretch>
                        </pic:blipFill>
                        <pic:spPr>
                          <a:xfrm>
                            <a:off x="0" y="0"/>
                            <a:ext cx="2147570" cy="444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2708910</wp:posOffset>
                  </wp:positionH>
                  <wp:positionV relativeFrom="paragraph">
                    <wp:posOffset>0</wp:posOffset>
                  </wp:positionV>
                  <wp:extent cx="1910715" cy="0"/>
                  <wp:effectExtent l="0" t="0" r="0" b="0"/>
                  <wp:wrapNone/>
                  <wp:docPr id="9" name="图片_4"/>
                  <wp:cNvGraphicFramePr/>
                  <a:graphic xmlns:a="http://schemas.openxmlformats.org/drawingml/2006/main">
                    <a:graphicData uri="http://schemas.openxmlformats.org/drawingml/2006/picture">
                      <pic:pic xmlns:pic="http://schemas.openxmlformats.org/drawingml/2006/picture">
                        <pic:nvPicPr>
                          <pic:cNvPr id="9" name="图片_4"/>
                          <pic:cNvPicPr/>
                        </pic:nvPicPr>
                        <pic:blipFill>
                          <a:blip r:link="rId7"/>
                          <a:stretch>
                            <a:fillRect/>
                          </a:stretch>
                        </pic:blipFill>
                        <pic:spPr>
                          <a:xfrm>
                            <a:off x="0" y="0"/>
                            <a:ext cx="1910715" cy="0"/>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drawing>
                <wp:anchor distT="0" distB="0" distL="114300" distR="114300" simplePos="0" relativeHeight="251658240" behindDoc="0" locked="0" layoutInCell="1" allowOverlap="1">
                  <wp:simplePos x="0" y="0"/>
                  <wp:positionH relativeFrom="column">
                    <wp:posOffset>3178175</wp:posOffset>
                  </wp:positionH>
                  <wp:positionV relativeFrom="paragraph">
                    <wp:posOffset>0</wp:posOffset>
                  </wp:positionV>
                  <wp:extent cx="2918460" cy="1905"/>
                  <wp:effectExtent l="0" t="0" r="0" b="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link="rId8"/>
                          <a:stretch>
                            <a:fillRect/>
                          </a:stretch>
                        </pic:blipFill>
                        <pic:spPr>
                          <a:xfrm>
                            <a:off x="0" y="0"/>
                            <a:ext cx="2918460" cy="1905"/>
                          </a:xfrm>
                          <a:prstGeom prst="rect">
                            <a:avLst/>
                          </a:prstGeom>
                          <a:noFill/>
                          <a:ln>
                            <a:noFill/>
                          </a:ln>
                        </pic:spPr>
                      </pic:pic>
                    </a:graphicData>
                  </a:graphic>
                </wp:anchor>
              </w:drawing>
            </w:r>
            <w:r>
              <w:rPr>
                <w:rFonts w:hint="eastAsia" w:ascii="黑体" w:hAnsi="宋体" w:eastAsia="黑体" w:cs="黑体"/>
                <w:b/>
                <w:i w:val="0"/>
                <w:color w:val="000000"/>
                <w:kern w:val="0"/>
                <w:sz w:val="32"/>
                <w:szCs w:val="32"/>
                <w:u w:val="none"/>
                <w:lang w:val="en-US" w:eastAsia="zh-CN" w:bidi="ar"/>
              </w:rPr>
              <w:t>凤北校区图书馆阅览室翻新项目报价表</w:t>
            </w:r>
          </w:p>
        </w:tc>
      </w:tr>
      <w:tr>
        <w:tblPrEx>
          <w:tblLayout w:type="fixed"/>
          <w:tblCellMar>
            <w:top w:w="0" w:type="dxa"/>
            <w:left w:w="0" w:type="dxa"/>
            <w:bottom w:w="0" w:type="dxa"/>
            <w:right w:w="0" w:type="dxa"/>
          </w:tblCellMar>
        </w:tblPrEx>
        <w:trPr>
          <w:trHeight w:val="560"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说明：凤北校区图书馆二楼阅览室现有设施陈旧，墙面脱落，窗帘老旧，需进行翻新装修。同时，施工前，需与甲方签订安全协议。</w:t>
            </w:r>
          </w:p>
        </w:tc>
      </w:tr>
      <w:tr>
        <w:tblPrEx>
          <w:tblLayout w:type="fixed"/>
          <w:tblCellMar>
            <w:top w:w="0" w:type="dxa"/>
            <w:left w:w="0" w:type="dxa"/>
            <w:bottom w:w="0" w:type="dxa"/>
            <w:right w:w="0" w:type="dxa"/>
          </w:tblCellMar>
        </w:tblPrEx>
        <w:trPr>
          <w:trHeight w:val="560" w:hRule="atLeast"/>
        </w:trPr>
        <w:tc>
          <w:tcPr>
            <w:tcW w:w="32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序号</w:t>
            </w:r>
          </w:p>
        </w:tc>
        <w:tc>
          <w:tcPr>
            <w:tcW w:w="59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项目名称</w:t>
            </w:r>
          </w:p>
        </w:tc>
        <w:tc>
          <w:tcPr>
            <w:tcW w:w="1552"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作业单项</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描述及要求</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单位</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品牌及规格型号</w:t>
            </w: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单价</w:t>
            </w:r>
          </w:p>
        </w:tc>
        <w:tc>
          <w:tcPr>
            <w:tcW w:w="1247" w:type="dxa"/>
            <w:gridSpan w:val="2"/>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总价</w:t>
            </w:r>
          </w:p>
        </w:tc>
      </w:tr>
      <w:tr>
        <w:tblPrEx>
          <w:tblLayout w:type="fixed"/>
          <w:tblCellMar>
            <w:top w:w="0" w:type="dxa"/>
            <w:left w:w="0" w:type="dxa"/>
            <w:bottom w:w="0" w:type="dxa"/>
            <w:right w:w="0" w:type="dxa"/>
          </w:tblCellMar>
        </w:tblPrEx>
        <w:trPr>
          <w:trHeight w:val="760" w:hRule="atLeast"/>
        </w:trPr>
        <w:tc>
          <w:tcPr>
            <w:tcW w:w="3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59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墙面翻新</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乳胶漆墙面</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全屋铲除旧墙皮，重新刮涂仿瓷底料、面料，表面刷白色乳胶漆。</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2</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457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300"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电路改造</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PVC阻燃线槽</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40*19PVC阻燃线槽</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m</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07"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五孔插座</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86型明装五孔插座</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7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空调接线盒</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明装空调接线盒带2P空开</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33"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开关</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更换全屋所有照明开关</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个</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9"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国标6mm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29"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国标4mm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16"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1.5mm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电线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国标1.5mm</w:t>
            </w:r>
            <w:r>
              <w:rPr>
                <w:rFonts w:hint="eastAsia" w:ascii="仿宋" w:hAnsi="仿宋" w:eastAsia="仿宋" w:cs="仿宋"/>
                <w:i w:val="0"/>
                <w:color w:val="000000"/>
                <w:kern w:val="0"/>
                <w:sz w:val="22"/>
                <w:szCs w:val="22"/>
                <w:u w:val="none"/>
                <w:vertAlign w:val="superscript"/>
                <w:lang w:val="en-US" w:eastAsia="zh-CN" w:bidi="ar"/>
              </w:rPr>
              <w:t>2</w:t>
            </w:r>
            <w:r>
              <w:rPr>
                <w:rFonts w:hint="eastAsia" w:ascii="仿宋" w:hAnsi="仿宋" w:eastAsia="仿宋" w:cs="仿宋"/>
                <w:i w:val="0"/>
                <w:color w:val="000000"/>
                <w:kern w:val="0"/>
                <w:sz w:val="22"/>
                <w:szCs w:val="22"/>
                <w:u w:val="none"/>
                <w:lang w:val="en-US" w:eastAsia="zh-CN" w:bidi="ar"/>
              </w:rPr>
              <w:t>BRV电线</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圈</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4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LED条型灯</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≥(120cm*10cm)条型LED灯（吊装）</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盏</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14</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440" w:hRule="atLeast"/>
        </w:trPr>
        <w:tc>
          <w:tcPr>
            <w:tcW w:w="320" w:type="dxa"/>
            <w:tcBorders>
              <w:top w:val="nil"/>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tcBorders>
              <w:top w:val="nil"/>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1193" w:type="dxa"/>
            <w:tcBorders>
              <w:top w:val="single" w:color="000000" w:sz="4" w:space="0"/>
              <w:left w:val="single" w:color="000000" w:sz="4" w:space="0"/>
              <w:bottom w:val="single" w:color="000000" w:sz="4" w:space="0"/>
              <w:right w:val="nil"/>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参考图：</w:t>
            </w:r>
          </w:p>
        </w:tc>
        <w:tc>
          <w:tcPr>
            <w:tcW w:w="4790" w:type="dxa"/>
            <w:gridSpan w:val="3"/>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drawing>
                <wp:anchor distT="0" distB="0" distL="114300" distR="114300" simplePos="0" relativeHeight="251658240" behindDoc="0" locked="0" layoutInCell="1" allowOverlap="1">
                  <wp:simplePos x="0" y="0"/>
                  <wp:positionH relativeFrom="column">
                    <wp:posOffset>27940</wp:posOffset>
                  </wp:positionH>
                  <wp:positionV relativeFrom="paragraph">
                    <wp:posOffset>24765</wp:posOffset>
                  </wp:positionV>
                  <wp:extent cx="2486660" cy="833120"/>
                  <wp:effectExtent l="0" t="0" r="2540" b="5080"/>
                  <wp:wrapNone/>
                  <wp:docPr id="11" name="图片_21"/>
                  <wp:cNvGraphicFramePr/>
                  <a:graphic xmlns:a="http://schemas.openxmlformats.org/drawingml/2006/main">
                    <a:graphicData uri="http://schemas.openxmlformats.org/drawingml/2006/picture">
                      <pic:pic xmlns:pic="http://schemas.openxmlformats.org/drawingml/2006/picture">
                        <pic:nvPicPr>
                          <pic:cNvPr id="11" name="图片_21"/>
                          <pic:cNvPicPr/>
                        </pic:nvPicPr>
                        <pic:blipFill>
                          <a:blip r:link="rId9"/>
                          <a:stretch>
                            <a:fillRect/>
                          </a:stretch>
                        </pic:blipFill>
                        <pic:spPr>
                          <a:xfrm>
                            <a:off x="0" y="0"/>
                            <a:ext cx="2486660" cy="833120"/>
                          </a:xfrm>
                          <a:prstGeom prst="rect">
                            <a:avLst/>
                          </a:prstGeom>
                          <a:noFill/>
                          <a:ln>
                            <a:noFill/>
                          </a:ln>
                        </pic:spPr>
                      </pic:pic>
                    </a:graphicData>
                  </a:graphic>
                </wp:anchor>
              </w:drawing>
            </w:r>
          </w:p>
        </w:tc>
        <w:tc>
          <w:tcPr>
            <w:tcW w:w="975" w:type="dxa"/>
            <w:tcBorders>
              <w:top w:val="single" w:color="000000" w:sz="4" w:space="0"/>
              <w:left w:val="nil"/>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2"/>
                <w:szCs w:val="22"/>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82"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窗帘更换</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拆除旧窗帘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拆除原旧窗帘及支架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0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新装遮光窗帘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窗帘尺寸约为2.57m宽，2.5m高，对开，采用遮光布材质，要能全履盖窗户。连罗马杆等全套配件。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新装遮光窗帘</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窗帘尺寸约为7m宽，2.5m高。窗帘对开，采用遮光布材质，能全履盖窗户。连罗马杆等全套配件。</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495" w:hRule="atLeast"/>
        </w:trPr>
        <w:tc>
          <w:tcPr>
            <w:tcW w:w="320"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w:t>
            </w:r>
          </w:p>
        </w:tc>
        <w:tc>
          <w:tcPr>
            <w:tcW w:w="592"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更换前后大门</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拆除旧门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拆除前后旧门</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restart"/>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120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顶部封板</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原大门高度约为2.8米，顶部有副窗。将顶部过高部分用木方条+石膏板封板，留下净空2.2m空间。</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处</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60" w:hRule="atLeast"/>
        </w:trPr>
        <w:tc>
          <w:tcPr>
            <w:tcW w:w="320"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592"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钢质防盗门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钢质加厚防盗门，厚度0.5mm。宽依门洞尺寸高为2.2m，外包边。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扇</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vMerge w:val="continue"/>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560" w:hRule="atLeast"/>
        </w:trPr>
        <w:tc>
          <w:tcPr>
            <w:tcW w:w="320"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5</w:t>
            </w:r>
          </w:p>
        </w:tc>
        <w:tc>
          <w:tcPr>
            <w:tcW w:w="592"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w:t>
            </w:r>
          </w:p>
        </w:tc>
        <w:tc>
          <w:tcPr>
            <w:tcW w:w="3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搬运及垃圾清运费用</w:t>
            </w:r>
          </w:p>
        </w:tc>
        <w:tc>
          <w:tcPr>
            <w:tcW w:w="343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材料搬运、转运、垃圾清运及开荒保洁费用</w:t>
            </w:r>
          </w:p>
        </w:tc>
        <w:tc>
          <w:tcPr>
            <w:tcW w:w="679"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项</w:t>
            </w:r>
          </w:p>
        </w:tc>
        <w:tc>
          <w:tcPr>
            <w:tcW w:w="6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42"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c>
          <w:tcPr>
            <w:tcW w:w="605" w:type="dxa"/>
            <w:tcBorders>
              <w:top w:val="single" w:color="000000" w:sz="4" w:space="0"/>
              <w:left w:val="single" w:color="000000" w:sz="4" w:space="0"/>
              <w:bottom w:val="nil"/>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p>
        </w:tc>
      </w:tr>
      <w:tr>
        <w:tblPrEx>
          <w:tblLayout w:type="fixed"/>
          <w:tblCellMar>
            <w:top w:w="0" w:type="dxa"/>
            <w:left w:w="0" w:type="dxa"/>
            <w:bottom w:w="0" w:type="dxa"/>
            <w:right w:w="0" w:type="dxa"/>
          </w:tblCellMar>
        </w:tblPrEx>
        <w:trPr>
          <w:trHeight w:val="794"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both"/>
              <w:textAlignment w:val="center"/>
              <w:rPr>
                <w:rFonts w:hint="default" w:ascii="仿宋" w:hAnsi="仿宋" w:eastAsia="仿宋" w:cs="仿宋"/>
                <w:b/>
                <w:i w:val="0"/>
                <w:color w:val="000000"/>
                <w:sz w:val="24"/>
                <w:szCs w:val="24"/>
                <w:u w:val="none"/>
                <w:lang w:val="en-US"/>
              </w:rPr>
            </w:pPr>
            <w:r>
              <w:rPr>
                <w:rFonts w:hint="eastAsia" w:ascii="仿宋" w:hAnsi="仿宋" w:eastAsia="仿宋" w:cs="仿宋"/>
                <w:b/>
                <w:i w:val="0"/>
                <w:color w:val="000000"/>
                <w:kern w:val="0"/>
                <w:sz w:val="24"/>
                <w:szCs w:val="24"/>
                <w:u w:val="none"/>
                <w:lang w:val="en-US" w:eastAsia="zh-CN" w:bidi="ar"/>
              </w:rPr>
              <w:t>合计：小写：     元、大写：                           元整。</w:t>
            </w:r>
          </w:p>
        </w:tc>
      </w:tr>
      <w:tr>
        <w:tblPrEx>
          <w:tblLayout w:type="fixed"/>
          <w:tblCellMar>
            <w:top w:w="0" w:type="dxa"/>
            <w:left w:w="0" w:type="dxa"/>
            <w:bottom w:w="0" w:type="dxa"/>
            <w:right w:w="0" w:type="dxa"/>
          </w:tblCellMar>
        </w:tblPrEx>
        <w:trPr>
          <w:trHeight w:val="1160" w:hRule="atLeast"/>
        </w:trPr>
        <w:tc>
          <w:tcPr>
            <w:tcW w:w="10118" w:type="dxa"/>
            <w:gridSpan w:val="11"/>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1.以上预算费用除特殊标注外均包含原材料、施工工具、运输、安装、劳务、文明施工、安全施工、垃圾清扫与清运及税费等费用(学校仅免费提供水电)。2.数量以实际验收数量为准予以结算。3.中标商家须在询价工作结束后</w:t>
            </w:r>
            <w:bookmarkStart w:id="0" w:name="_GoBack"/>
            <w:bookmarkEnd w:id="0"/>
            <w:r>
              <w:rPr>
                <w:rFonts w:hint="eastAsia" w:ascii="仿宋" w:hAnsi="仿宋" w:eastAsia="仿宋" w:cs="仿宋"/>
                <w:i w:val="0"/>
                <w:color w:val="000000"/>
                <w:kern w:val="0"/>
                <w:sz w:val="24"/>
                <w:szCs w:val="24"/>
                <w:u w:val="none"/>
                <w:lang w:val="en-US" w:eastAsia="zh-CN" w:bidi="ar"/>
              </w:rPr>
              <w:t>7个工作日内完成施工、验收等工作。在施工过程中，应学校要求，如出现增项或增量、改变方案、相关技术参数等原因，其超额须控制在成交总价的10%以内。</w:t>
            </w: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258381C"/>
    <w:rsid w:val="037137FD"/>
    <w:rsid w:val="04904570"/>
    <w:rsid w:val="05036529"/>
    <w:rsid w:val="050E2ECE"/>
    <w:rsid w:val="063A7F01"/>
    <w:rsid w:val="06A27B74"/>
    <w:rsid w:val="07466AC9"/>
    <w:rsid w:val="07AE3835"/>
    <w:rsid w:val="07B34C14"/>
    <w:rsid w:val="07E5675F"/>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040048"/>
    <w:rsid w:val="193910E5"/>
    <w:rsid w:val="195135D8"/>
    <w:rsid w:val="1A7D5684"/>
    <w:rsid w:val="1AC15311"/>
    <w:rsid w:val="1B134EC3"/>
    <w:rsid w:val="1C2C52C5"/>
    <w:rsid w:val="1CAD5CEA"/>
    <w:rsid w:val="1D113FA4"/>
    <w:rsid w:val="1D5B7B20"/>
    <w:rsid w:val="1E8F3ED4"/>
    <w:rsid w:val="1ED908A2"/>
    <w:rsid w:val="20371A9D"/>
    <w:rsid w:val="20E76CAB"/>
    <w:rsid w:val="21394209"/>
    <w:rsid w:val="21EA0F6E"/>
    <w:rsid w:val="231C7821"/>
    <w:rsid w:val="237B095A"/>
    <w:rsid w:val="241C27E5"/>
    <w:rsid w:val="24DB4A8C"/>
    <w:rsid w:val="259E1B40"/>
    <w:rsid w:val="25A07E30"/>
    <w:rsid w:val="26D05631"/>
    <w:rsid w:val="26E23F50"/>
    <w:rsid w:val="27E20B06"/>
    <w:rsid w:val="27FC47B5"/>
    <w:rsid w:val="287E141C"/>
    <w:rsid w:val="28B8629B"/>
    <w:rsid w:val="28CD15BF"/>
    <w:rsid w:val="28FD39EF"/>
    <w:rsid w:val="2A067046"/>
    <w:rsid w:val="2A761DD9"/>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8AC5308"/>
    <w:rsid w:val="390C744C"/>
    <w:rsid w:val="39FA3AED"/>
    <w:rsid w:val="3A34346A"/>
    <w:rsid w:val="3A486159"/>
    <w:rsid w:val="3AAC7696"/>
    <w:rsid w:val="3AE86BAC"/>
    <w:rsid w:val="3B4D6C4F"/>
    <w:rsid w:val="3BEA48CE"/>
    <w:rsid w:val="3C7D054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3D587F"/>
    <w:rsid w:val="4C5338DC"/>
    <w:rsid w:val="4C661EAD"/>
    <w:rsid w:val="4C8E350F"/>
    <w:rsid w:val="4D143759"/>
    <w:rsid w:val="4DF14748"/>
    <w:rsid w:val="4FDA5DC0"/>
    <w:rsid w:val="511D7321"/>
    <w:rsid w:val="52172637"/>
    <w:rsid w:val="521B665C"/>
    <w:rsid w:val="52DE7538"/>
    <w:rsid w:val="53D6057F"/>
    <w:rsid w:val="550E655A"/>
    <w:rsid w:val="55677B7D"/>
    <w:rsid w:val="55751482"/>
    <w:rsid w:val="55A44E60"/>
    <w:rsid w:val="56793777"/>
    <w:rsid w:val="56D23F20"/>
    <w:rsid w:val="57524BAD"/>
    <w:rsid w:val="58696FE1"/>
    <w:rsid w:val="58967865"/>
    <w:rsid w:val="58DB0E89"/>
    <w:rsid w:val="59FD5891"/>
    <w:rsid w:val="5A2D31D7"/>
    <w:rsid w:val="5A4001CD"/>
    <w:rsid w:val="5A827677"/>
    <w:rsid w:val="5AF231C8"/>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9773F14"/>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file:///C:\Users\ADMINI~1\AppData\Local\Temp\ksohtml\clip_image22.png" TargetMode="External"/><Relationship Id="rId8" Type="http://schemas.openxmlformats.org/officeDocument/2006/relationships/image" Target="file:///C:\Users\ADMINI~1\AppData\Local\Temp\ksohtml\clip_image3.png" TargetMode="External"/><Relationship Id="rId7" Type="http://schemas.openxmlformats.org/officeDocument/2006/relationships/image" Target="file:///C:\Users\ADMINI~1\AppData\Local\Temp\ksohtml\clip_image5.png" TargetMode="External"/><Relationship Id="rId6" Type="http://schemas.openxmlformats.org/officeDocument/2006/relationships/image" Target="file:///C:\Users\ADMINI~1\AppData\Local\Temp\ksohtml\clip_image2.png" TargetMode="External"/><Relationship Id="rId5" Type="http://schemas.openxmlformats.org/officeDocument/2006/relationships/image" Target="file:///C:\Users\ADMINI~1\AppData\Local\Temp\ksohtml\clip_image6.png" TargetMode="External"/><Relationship Id="rId4" Type="http://schemas.openxmlformats.org/officeDocument/2006/relationships/image" Target="file:///C:\Users\ADMINI~1\AppData\Local\Temp\ksohtml\clip_image4.png" TargetMode="Externa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27</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2025-12-04T01:35:18Z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