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9B473">
      <w:pPr>
        <w:jc w:val="left"/>
        <w:rPr>
          <w:rStyle w:val="25"/>
          <w:rFonts w:ascii="宋体" w:hAnsi="宋体" w:eastAsia="宋体"/>
          <w:b w:val="0"/>
          <w:sz w:val="28"/>
          <w:szCs w:val="28"/>
        </w:rPr>
      </w:pPr>
      <w:r>
        <w:rPr>
          <w:rStyle w:val="25"/>
          <w:rFonts w:hint="eastAsia" w:ascii="宋体" w:hAnsi="宋体" w:eastAsia="宋体"/>
          <w:b w:val="0"/>
          <w:sz w:val="28"/>
          <w:szCs w:val="28"/>
        </w:rPr>
        <w:t>附件</w:t>
      </w:r>
      <w:r>
        <w:rPr>
          <w:rStyle w:val="25"/>
          <w:rFonts w:hint="eastAsia" w:ascii="宋体" w:hAnsi="宋体" w:eastAsia="宋体"/>
          <w:b w:val="0"/>
          <w:sz w:val="28"/>
          <w:szCs w:val="28"/>
          <w:lang w:val="en-US" w:eastAsia="zh-CN"/>
        </w:rPr>
        <w:t>1-报价表</w:t>
      </w:r>
      <w:r>
        <w:rPr>
          <w:rStyle w:val="25"/>
          <w:rFonts w:hint="eastAsia" w:ascii="宋体" w:hAnsi="宋体" w:eastAsia="宋体"/>
          <w:b w:val="0"/>
          <w:sz w:val="28"/>
          <w:szCs w:val="28"/>
        </w:rPr>
        <w:t xml:space="preserve">：      </w:t>
      </w:r>
    </w:p>
    <w:p w14:paraId="64176330">
      <w:pPr>
        <w:jc w:val="center"/>
        <w:rPr>
          <w:rFonts w:hint="eastAsia" w:asciiTheme="majorEastAsia" w:hAnsiTheme="majorEastAsia" w:eastAsiaTheme="majorEastAsia" w:cstheme="majorEastAsia"/>
          <w:b/>
          <w:bCs/>
          <w:sz w:val="32"/>
          <w:szCs w:val="32"/>
        </w:rPr>
      </w:pP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急救教育试点学校建设</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14:paraId="01DA9C75">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7</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30</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23"/>
        <w:tblpPr w:leftFromText="180" w:rightFromText="180" w:vertAnchor="text" w:horzAnchor="page" w:tblpX="1081" w:tblpY="210"/>
        <w:tblOverlap w:val="never"/>
        <w:tblW w:w="967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952"/>
        <w:gridCol w:w="2756"/>
      </w:tblGrid>
      <w:tr w14:paraId="5DE08C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0" w:hRule="atLeast"/>
        </w:trPr>
        <w:tc>
          <w:tcPr>
            <w:tcW w:w="769" w:type="dxa"/>
            <w:vAlign w:val="center"/>
          </w:tcPr>
          <w:p w14:paraId="37ED1042">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14:paraId="0BCF3D9B">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14:paraId="2E6C0152">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14:paraId="2ECB80C6">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952" w:type="dxa"/>
            <w:vAlign w:val="center"/>
          </w:tcPr>
          <w:p w14:paraId="096A8391">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2756" w:type="dxa"/>
            <w:vAlign w:val="center"/>
          </w:tcPr>
          <w:p w14:paraId="75AC8E33">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14:paraId="48953C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60" w:hRule="exact"/>
        </w:trPr>
        <w:tc>
          <w:tcPr>
            <w:tcW w:w="769" w:type="dxa"/>
            <w:vAlign w:val="center"/>
          </w:tcPr>
          <w:p w14:paraId="6BC984F7">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14:paraId="1CB129D0">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急救教育试点学校建设</w:t>
            </w:r>
          </w:p>
        </w:tc>
        <w:tc>
          <w:tcPr>
            <w:tcW w:w="858" w:type="dxa"/>
            <w:vAlign w:val="center"/>
          </w:tcPr>
          <w:p w14:paraId="561FA7C1">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14:paraId="5673C9C8">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952" w:type="dxa"/>
            <w:vAlign w:val="center"/>
          </w:tcPr>
          <w:p w14:paraId="6EA7145C">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2756" w:type="dxa"/>
            <w:tcBorders>
              <w:right w:val="single" w:color="auto" w:sz="4" w:space="0"/>
            </w:tcBorders>
            <w:vAlign w:val="center"/>
          </w:tcPr>
          <w:p w14:paraId="797805E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p>
          <w:p w14:paraId="673A73AA">
            <w:pPr>
              <w:jc w:val="left"/>
              <w:rPr>
                <w:rFonts w:hint="default" w:ascii="宋体" w:hAnsi="宋体" w:eastAsia="宋体" w:cs="宋体"/>
                <w:kern w:val="0"/>
                <w:sz w:val="21"/>
                <w:szCs w:val="21"/>
                <w:lang w:val="en-US" w:eastAsia="zh-CN"/>
              </w:rPr>
            </w:pPr>
          </w:p>
        </w:tc>
      </w:tr>
      <w:tr w14:paraId="245F52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2281" w:type="dxa"/>
            <w:gridSpan w:val="2"/>
            <w:vAlign w:val="center"/>
          </w:tcPr>
          <w:p w14:paraId="5D588D32">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7394" w:type="dxa"/>
            <w:gridSpan w:val="4"/>
            <w:vAlign w:val="center"/>
          </w:tcPr>
          <w:p w14:paraId="149C6CC3">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14:paraId="234709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7" w:hRule="atLeast"/>
        </w:trPr>
        <w:tc>
          <w:tcPr>
            <w:tcW w:w="2281" w:type="dxa"/>
            <w:gridSpan w:val="2"/>
            <w:vAlign w:val="center"/>
          </w:tcPr>
          <w:p w14:paraId="74C7053A">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7394" w:type="dxa"/>
            <w:gridSpan w:val="4"/>
            <w:vAlign w:val="center"/>
          </w:tcPr>
          <w:p w14:paraId="6F3F57F1">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14:paraId="64E502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4" w:hRule="atLeast"/>
        </w:trPr>
        <w:tc>
          <w:tcPr>
            <w:tcW w:w="2281" w:type="dxa"/>
            <w:gridSpan w:val="2"/>
            <w:vAlign w:val="center"/>
          </w:tcPr>
          <w:p w14:paraId="700E9EA0">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7394" w:type="dxa"/>
            <w:gridSpan w:val="4"/>
            <w:vAlign w:val="center"/>
          </w:tcPr>
          <w:p w14:paraId="06CC3D1B">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14:paraId="5F9DE2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4" w:hRule="atLeast"/>
        </w:trPr>
        <w:tc>
          <w:tcPr>
            <w:tcW w:w="2281" w:type="dxa"/>
            <w:gridSpan w:val="2"/>
            <w:vAlign w:val="center"/>
          </w:tcPr>
          <w:p w14:paraId="27986874">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14:paraId="039E9BB0">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7394" w:type="dxa"/>
            <w:gridSpan w:val="4"/>
            <w:vAlign w:val="center"/>
          </w:tcPr>
          <w:p w14:paraId="3347FC15">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14:paraId="0B7C57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7" w:hRule="atLeast"/>
        </w:trPr>
        <w:tc>
          <w:tcPr>
            <w:tcW w:w="2281" w:type="dxa"/>
            <w:gridSpan w:val="2"/>
            <w:vAlign w:val="center"/>
          </w:tcPr>
          <w:p w14:paraId="20203303">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7394" w:type="dxa"/>
            <w:gridSpan w:val="4"/>
            <w:vAlign w:val="center"/>
          </w:tcPr>
          <w:p w14:paraId="5EC9484F">
            <w:pPr>
              <w:jc w:val="center"/>
              <w:rPr>
                <w:rFonts w:ascii="仿宋" w:hAnsi="仿宋" w:eastAsia="仿宋" w:cs="仿宋"/>
                <w:kern w:val="0"/>
                <w:sz w:val="24"/>
                <w:szCs w:val="24"/>
              </w:rPr>
            </w:pPr>
          </w:p>
        </w:tc>
      </w:tr>
      <w:tr w14:paraId="668E77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1" w:hRule="atLeast"/>
        </w:trPr>
        <w:tc>
          <w:tcPr>
            <w:tcW w:w="2281" w:type="dxa"/>
            <w:gridSpan w:val="2"/>
            <w:vAlign w:val="center"/>
          </w:tcPr>
          <w:p w14:paraId="0DC886A2">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7394" w:type="dxa"/>
            <w:gridSpan w:val="4"/>
            <w:vAlign w:val="center"/>
          </w:tcPr>
          <w:p w14:paraId="4586ADF6">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14:paraId="74E9162E">
      <w:pPr>
        <w:jc w:val="center"/>
        <w:rPr>
          <w:rFonts w:hint="eastAsia" w:ascii="楷体" w:hAnsi="楷体" w:eastAsia="楷体" w:cs="仿宋_GB2312"/>
          <w:sz w:val="24"/>
          <w:szCs w:val="24"/>
          <w:lang w:val="en-US" w:eastAsia="zh-CN"/>
        </w:rPr>
      </w:pPr>
    </w:p>
    <w:p w14:paraId="6728D4F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备注:1、供应商的报价商品有品牌的，需在品牌一栏填写其报价商品品牌。</w:t>
      </w:r>
    </w:p>
    <w:p w14:paraId="703CDFB9">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firstLine="904" w:firstLineChars="5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报价为包干价，含税费、运输费、安装费、人工费等一切费用。</w:t>
      </w:r>
    </w:p>
    <w:p w14:paraId="5437FEDF">
      <w:pPr>
        <w:pStyle w:val="2"/>
        <w:numPr>
          <w:ilvl w:val="0"/>
          <w:numId w:val="1"/>
        </w:numPr>
        <w:ind w:left="0" w:leftChars="0" w:firstLine="904" w:firstLineChars="500"/>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14:paraId="4CE52033">
      <w:pPr>
        <w:rPr>
          <w:rFonts w:hint="default"/>
          <w:lang w:val="en-US" w:eastAsia="zh-CN"/>
        </w:rPr>
      </w:pPr>
      <w:r>
        <w:rPr>
          <w:rFonts w:hint="eastAsia" w:ascii="宋体" w:hAnsi="宋体" w:cs="宋体"/>
          <w:b/>
          <w:bCs/>
          <w:sz w:val="18"/>
          <w:szCs w:val="18"/>
          <w:lang w:val="en-US" w:eastAsia="zh-CN"/>
        </w:rPr>
        <w:t>　　</w:t>
      </w:r>
    </w:p>
    <w:p w14:paraId="743B83D0">
      <w:pPr>
        <w:numPr>
          <w:ilvl w:val="0"/>
          <w:numId w:val="0"/>
        </w:numPr>
        <w:rPr>
          <w:rFonts w:hint="default"/>
          <w:lang w:val="en-US" w:eastAsia="zh-CN"/>
        </w:rPr>
      </w:pPr>
      <w:r>
        <w:rPr>
          <w:rFonts w:hint="eastAsia"/>
          <w:lang w:val="en-US" w:eastAsia="zh-CN"/>
        </w:rPr>
        <w:t>　　　</w:t>
      </w:r>
    </w:p>
    <w:p w14:paraId="69B4FCF8">
      <w:pPr>
        <w:pStyle w:val="2"/>
        <w:rPr>
          <w:rFonts w:hint="eastAsia"/>
          <w:lang w:val="en-US" w:eastAsia="zh-CN"/>
        </w:rPr>
      </w:pPr>
    </w:p>
    <w:p w14:paraId="5726DEAA">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14:paraId="3E7A512F">
      <w:pPr>
        <w:pStyle w:val="2"/>
        <w:ind w:firstLine="2249" w:firstLineChars="700"/>
        <w:rPr>
          <w:rFonts w:hint="default"/>
          <w:lang w:val="en-US" w:eastAsia="zh-CN"/>
        </w:rPr>
      </w:pPr>
      <w:r>
        <w:rPr>
          <w:rFonts w:hint="eastAsia" w:asciiTheme="majorEastAsia" w:hAnsiTheme="majorEastAsia" w:eastAsiaTheme="majorEastAsia" w:cstheme="majorEastAsia"/>
          <w:b/>
          <w:bCs/>
          <w:color w:val="333333"/>
          <w:sz w:val="32"/>
          <w:szCs w:val="32"/>
          <w:lang w:val="en-US" w:eastAsia="zh-CN"/>
        </w:rPr>
        <w:t>急救教育试点学校建设采购明细报价表</w:t>
      </w:r>
    </w:p>
    <w:tbl>
      <w:tblPr>
        <w:tblW w:w="5680" w:type="pct"/>
        <w:tblInd w:w="-5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09"/>
        <w:gridCol w:w="637"/>
        <w:gridCol w:w="5309"/>
        <w:gridCol w:w="573"/>
        <w:gridCol w:w="563"/>
        <w:gridCol w:w="627"/>
        <w:gridCol w:w="2800"/>
      </w:tblGrid>
      <w:tr w14:paraId="13E36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57" w:type="pct"/>
            <w:tcBorders>
              <w:top w:val="single" w:color="000000" w:sz="4" w:space="0"/>
              <w:left w:val="single" w:color="000000" w:sz="4" w:space="0"/>
              <w:bottom w:val="single" w:color="000000" w:sz="4" w:space="0"/>
              <w:right w:val="single" w:color="000000" w:sz="4" w:space="0"/>
            </w:tcBorders>
            <w:shd w:val="clear"/>
            <w:vAlign w:val="center"/>
          </w:tcPr>
          <w:p w14:paraId="2C0D457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产品名称</w:t>
            </w: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78E52A4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数量</w:t>
            </w:r>
          </w:p>
        </w:tc>
        <w:tc>
          <w:tcPr>
            <w:tcW w:w="2345" w:type="pct"/>
            <w:tcBorders>
              <w:top w:val="single" w:color="000000" w:sz="4" w:space="0"/>
              <w:left w:val="single" w:color="000000" w:sz="4" w:space="0"/>
              <w:bottom w:val="single" w:color="000000" w:sz="4" w:space="0"/>
              <w:right w:val="single" w:color="000000" w:sz="4" w:space="0"/>
            </w:tcBorders>
            <w:shd w:val="clear"/>
            <w:vAlign w:val="center"/>
          </w:tcPr>
          <w:p w14:paraId="2C61D8C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参数</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C9212E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品牌</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37196AE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单价</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66BE1C6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总价</w:t>
            </w:r>
          </w:p>
        </w:tc>
        <w:tc>
          <w:tcPr>
            <w:tcW w:w="1236" w:type="pct"/>
            <w:tcBorders>
              <w:top w:val="single" w:color="000000" w:sz="4" w:space="0"/>
              <w:left w:val="single" w:color="000000" w:sz="4" w:space="0"/>
              <w:bottom w:val="single" w:color="000000" w:sz="4" w:space="0"/>
              <w:right w:val="single" w:color="000000" w:sz="4" w:space="0"/>
            </w:tcBorders>
            <w:shd w:val="clear"/>
            <w:vAlign w:val="center"/>
          </w:tcPr>
          <w:p w14:paraId="6F1FCFB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图片</w:t>
            </w:r>
          </w:p>
        </w:tc>
      </w:tr>
      <w:tr w14:paraId="655A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80" w:hRule="atLeast"/>
        </w:trPr>
        <w:tc>
          <w:tcPr>
            <w:tcW w:w="357" w:type="pct"/>
            <w:tcBorders>
              <w:top w:val="single" w:color="000000" w:sz="4" w:space="0"/>
              <w:left w:val="single" w:color="000000" w:sz="4" w:space="0"/>
              <w:bottom w:val="single" w:color="000000" w:sz="4" w:space="0"/>
              <w:right w:val="single" w:color="000000" w:sz="4" w:space="0"/>
            </w:tcBorders>
            <w:shd w:val="clear"/>
            <w:noWrap/>
            <w:vAlign w:val="center"/>
          </w:tcPr>
          <w:p w14:paraId="48868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心电监护仪</w:t>
            </w: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027B0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345" w:type="pct"/>
            <w:tcBorders>
              <w:top w:val="single" w:color="000000" w:sz="4" w:space="0"/>
              <w:left w:val="single" w:color="000000" w:sz="4" w:space="0"/>
              <w:bottom w:val="single" w:color="000000" w:sz="4" w:space="0"/>
              <w:right w:val="single" w:color="000000" w:sz="4" w:space="0"/>
            </w:tcBorders>
            <w:shd w:val="clear"/>
            <w:vAlign w:val="center"/>
          </w:tcPr>
          <w:p w14:paraId="69A91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 整机要求：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 便携一体式监护仪, 整机无风扇设计，降低环境噪音干扰。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 ★≥10英寸彩色液晶显示屏，分辨率≥1024*600，≥8通道波形显示。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 标配锂电池，工作时间≥3小时。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1.4、 ★安全规格：ECG, TEMP, SpO2 , NIBP监测参数抗电击程度为防除颤CF型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1.5、 监护仪设计使用年限≥10年。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1.6、 ★主机防水等级≥IPX1，支持0.75米抗跌落。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1.7、 监护仪清洁消毒维护支持的消毒剂≥7种。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1.8、 监护仪主机工作温度环境范围：0~40°C。</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1.9、 监护仪主机工作湿度环境范围；15~95%。</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 监测参数：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2.1、 标准配置可监测心电，呼吸，无创血压，血氧饱和度，脉搏和体温，适用于成人、小儿和新生儿。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2.2、 ★采用ECG多导同步分析专利技术，保证心电监护的优异性。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2.3、 心电波形速度支持6.25、12.5、25和50mm/s不少于4种选择。</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2.4、 具备智能导联脱落监测功能，个别导联脱落的情况下仍能保持监护。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2.5、 ★提供心率变化统计界面，包括患者平均心率、夜间平均心率、白天平均心率、最快心率和最慢心率等，直观快速了解过去24小时患者的心率变化和心率分布情况。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2.6、 ★提供SpO2和PR的实时监测，适用于成人，小儿和新生儿。来自SpO2的PR测量范围：20-300。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2.7、 ★血氧监测时标配支持PI血氧灌注指数的监测，有效反映血氧灌注情况，PI测量范围：0.05%-20%；0.05%~9.99%：分辨率0.01%；10.0%~20.0%：分辨率0.1%。</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2.8、 采用抗干扰和弱灌注血氧专利技术保证血氧监护的优异性。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2.9、 ★提供手动，自动，连续、序列和整点5种测量模式。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2.10、 ★配置无创血压测量，适用于成人，小儿和新生儿。无创血压成人测量范围：收缩压25~290mmHg。</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2.11、 ★提供动态血压分析界面，包括平均血压、白天平均血压、夜间平均血压、最高血压、最低血压和正常血压比例等，直观快速了解过去24小时患者血压变化和分布情况。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2.12、 提供呼吸测量，适用于成人、小儿和新生儿。呼吸测量范围：0-200 rpm。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 系统功能：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3.1、 具有三级声光报警，参数报警级别可调。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3.2、 ★支持所有监测参数报警限一键自动设置功能，满足医护团队快速管理患者报警需求，产品用户手册提供报警限自动设置规则。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3.3、 ★支持≥1200小时趋势数据的存储与回顾功能，≥1800条报警事件以及每条报警事件至少能够存储30秒三道相关波形和报警触发时所有测量参数值。</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3.4、 ★具备监护模式、待机模式，演示模式、隐私模式和夜间模式不少于5种工作模式。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3.5、 具备动态趋势界面、呼吸氧合图界面，大字体显示界面，及标准显示界面等多种显示界面。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3.6、 ★支持临床评分系统，包括MEWS（改良早期预警评分）、NEWS（英国早期预警评分系统）、NEWS2（英国早期预警评分系统2）。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3.7、 支持RJ45接口进行有线网络通信，和除颤监护仪一起联网通信到中心监护系统。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3.8、 ★主机集成附件收纳槽，支持将心电、血氧和无创血压等导联线附件进行收纳放置，方便监护仪设备的高效管理和转移。</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3.9、 心电、血氧、血压附件兼容同品牌其他所有在线系列监护仪。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3.10、 ★支持它床观察，可同时监视≥10它床的报警信息。</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2D06A91">
            <w:pPr>
              <w:jc w:val="center"/>
              <w:rPr>
                <w:rFonts w:hint="eastAsia" w:ascii="宋体" w:hAnsi="宋体" w:eastAsia="宋体" w:cs="宋体"/>
                <w:i w:val="0"/>
                <w:iCs w:val="0"/>
                <w:color w:val="000000"/>
                <w:sz w:val="22"/>
                <w:szCs w:val="22"/>
                <w:u w:val="none"/>
              </w:rPr>
            </w:pPr>
          </w:p>
        </w:tc>
        <w:tc>
          <w:tcPr>
            <w:tcW w:w="248" w:type="pct"/>
            <w:tcBorders>
              <w:top w:val="single" w:color="000000" w:sz="4" w:space="0"/>
              <w:left w:val="single" w:color="000000" w:sz="4" w:space="0"/>
              <w:bottom w:val="single" w:color="000000" w:sz="4" w:space="0"/>
              <w:right w:val="single" w:color="000000" w:sz="4" w:space="0"/>
            </w:tcBorders>
            <w:shd w:val="clear"/>
            <w:noWrap/>
            <w:vAlign w:val="center"/>
          </w:tcPr>
          <w:p w14:paraId="3CE41496">
            <w:pPr>
              <w:jc w:val="center"/>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noWrap/>
            <w:vAlign w:val="center"/>
          </w:tcPr>
          <w:p w14:paraId="17DACCC2">
            <w:pPr>
              <w:jc w:val="center"/>
              <w:rPr>
                <w:rFonts w:hint="eastAsia" w:ascii="宋体" w:hAnsi="宋体" w:eastAsia="宋体" w:cs="宋体"/>
                <w:i w:val="0"/>
                <w:iCs w:val="0"/>
                <w:color w:val="000000"/>
                <w:sz w:val="22"/>
                <w:szCs w:val="22"/>
                <w:u w:val="none"/>
              </w:rPr>
            </w:pPr>
          </w:p>
        </w:tc>
        <w:tc>
          <w:tcPr>
            <w:tcW w:w="1236" w:type="pct"/>
            <w:tcBorders>
              <w:top w:val="single" w:color="000000" w:sz="4" w:space="0"/>
              <w:left w:val="single" w:color="000000" w:sz="4" w:space="0"/>
              <w:bottom w:val="single" w:color="000000" w:sz="4" w:space="0"/>
              <w:right w:val="single" w:color="000000" w:sz="4" w:space="0"/>
            </w:tcBorders>
            <w:shd w:val="clear"/>
            <w:noWrap/>
            <w:vAlign w:val="center"/>
          </w:tcPr>
          <w:p w14:paraId="759CA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-24130</wp:posOffset>
                  </wp:positionH>
                  <wp:positionV relativeFrom="paragraph">
                    <wp:posOffset>273050</wp:posOffset>
                  </wp:positionV>
                  <wp:extent cx="1905000" cy="1572260"/>
                  <wp:effectExtent l="0" t="0" r="0" b="2540"/>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4"/>
                          <a:stretch>
                            <a:fillRect/>
                          </a:stretch>
                        </pic:blipFill>
                        <pic:spPr>
                          <a:xfrm>
                            <a:off x="0" y="0"/>
                            <a:ext cx="1905000" cy="1572260"/>
                          </a:xfrm>
                          <a:prstGeom prst="rect">
                            <a:avLst/>
                          </a:prstGeom>
                          <a:noFill/>
                          <a:ln>
                            <a:noFill/>
                          </a:ln>
                        </pic:spPr>
                      </pic:pic>
                    </a:graphicData>
                  </a:graphic>
                </wp:anchor>
              </w:drawing>
            </w:r>
          </w:p>
        </w:tc>
      </w:tr>
      <w:tr w14:paraId="0406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60" w:hRule="atLeast"/>
        </w:trPr>
        <w:tc>
          <w:tcPr>
            <w:tcW w:w="357" w:type="pct"/>
            <w:tcBorders>
              <w:top w:val="single" w:color="000000" w:sz="4" w:space="0"/>
              <w:left w:val="single" w:color="000000" w:sz="4" w:space="0"/>
              <w:bottom w:val="single" w:color="000000" w:sz="4" w:space="0"/>
              <w:right w:val="single" w:color="000000" w:sz="4" w:space="0"/>
            </w:tcBorders>
            <w:shd w:val="clear"/>
            <w:noWrap/>
            <w:vAlign w:val="center"/>
          </w:tcPr>
          <w:p w14:paraId="327E6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模拟除颤仪</w:t>
            </w: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D7EC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345" w:type="pct"/>
            <w:tcBorders>
              <w:top w:val="single" w:color="000000" w:sz="4" w:space="0"/>
              <w:left w:val="single" w:color="000000" w:sz="4" w:space="0"/>
              <w:bottom w:val="single" w:color="000000" w:sz="4" w:space="0"/>
              <w:right w:val="single" w:color="000000" w:sz="4" w:space="0"/>
            </w:tcBorders>
            <w:shd w:val="clear"/>
            <w:vAlign w:val="center"/>
          </w:tcPr>
          <w:p w14:paraId="06A0F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本产品是专门为急救培训人员在使用真实电除颤仪之前的培训而设计的。具有与真实电除颤仪一致的精致外形，操作流程与真实电除颤仪操作无异，便于培训急救人员进行心电除颤训练。具有手动电除颤和心电监护二合一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2、结构组成：由除颤模块、心电监护模块、电除颤手柄、五导联心电监护连接线、主机等组成，模拟真实心电监护除颤仪结构，保证操作过程模拟真实除颤仪功能。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3、除颤功能：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3.1 可识别除颤位置，未放置在患者右侧胸骨第 2 肋间和左侧第五肋间与腋中线交界处，则不显示当前患者心电图，无法判定是否符合室颤除颤标准；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3.2 可以选择所需要的除颤能量值，最大能量可达 360J；具备 20 档可调节：1 J、2J、3J、4J、5J、6J、7J、8J、9J、10J、15J、20J、30J、50J、100J、150J、170J、200J、300J、360J。</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3.3 同时可模拟临床单向波或双向波除颤仪，可根据需求切换；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3.4 选好能量档位后,按下充电按钮,即对除颤手柄充电,达到预定值后,提示可放电，按下左右两个除颤手柄上的放点按钮，完成放电。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4、心电监护：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4.1 显示模拟人的心率、心律；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4.2 实时显现模拟人心电图，室颤还是窦性心律。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5、手动除颤仪可与市场上任何品牌的模拟人的交互控制，进行模拟除颤、同步电复律、以配合完成抢救训练。</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83ABD74">
            <w:pPr>
              <w:jc w:val="center"/>
              <w:rPr>
                <w:rFonts w:hint="eastAsia" w:ascii="宋体" w:hAnsi="宋体" w:eastAsia="宋体" w:cs="宋体"/>
                <w:i w:val="0"/>
                <w:iCs w:val="0"/>
                <w:color w:val="000000"/>
                <w:sz w:val="22"/>
                <w:szCs w:val="22"/>
                <w:u w:val="none"/>
              </w:rPr>
            </w:pPr>
          </w:p>
        </w:tc>
        <w:tc>
          <w:tcPr>
            <w:tcW w:w="248" w:type="pct"/>
            <w:tcBorders>
              <w:top w:val="single" w:color="000000" w:sz="4" w:space="0"/>
              <w:left w:val="single" w:color="000000" w:sz="4" w:space="0"/>
              <w:bottom w:val="single" w:color="000000" w:sz="4" w:space="0"/>
              <w:right w:val="single" w:color="000000" w:sz="4" w:space="0"/>
            </w:tcBorders>
            <w:shd w:val="clear"/>
            <w:noWrap/>
            <w:vAlign w:val="center"/>
          </w:tcPr>
          <w:p w14:paraId="24B51B8E">
            <w:pPr>
              <w:jc w:val="center"/>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noWrap/>
            <w:vAlign w:val="center"/>
          </w:tcPr>
          <w:p w14:paraId="030CB47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159385</wp:posOffset>
                  </wp:positionH>
                  <wp:positionV relativeFrom="paragraph">
                    <wp:posOffset>-274955</wp:posOffset>
                  </wp:positionV>
                  <wp:extent cx="2028825" cy="1372870"/>
                  <wp:effectExtent l="0" t="0" r="3175" b="11430"/>
                  <wp:wrapNone/>
                  <wp:docPr id="7" name="图片_5"/>
                  <wp:cNvGraphicFramePr/>
                  <a:graphic xmlns:a="http://schemas.openxmlformats.org/drawingml/2006/main">
                    <a:graphicData uri="http://schemas.openxmlformats.org/drawingml/2006/picture">
                      <pic:pic xmlns:pic="http://schemas.openxmlformats.org/drawingml/2006/picture">
                        <pic:nvPicPr>
                          <pic:cNvPr id="7" name="图片_5"/>
                          <pic:cNvPicPr/>
                        </pic:nvPicPr>
                        <pic:blipFill>
                          <a:blip r:embed="rId5"/>
                          <a:stretch>
                            <a:fillRect/>
                          </a:stretch>
                        </pic:blipFill>
                        <pic:spPr>
                          <a:xfrm>
                            <a:off x="0" y="0"/>
                            <a:ext cx="2028825" cy="1372870"/>
                          </a:xfrm>
                          <a:prstGeom prst="rect">
                            <a:avLst/>
                          </a:prstGeom>
                          <a:noFill/>
                          <a:ln>
                            <a:noFill/>
                          </a:ln>
                        </pic:spPr>
                      </pic:pic>
                    </a:graphicData>
                  </a:graphic>
                </wp:anchor>
              </w:drawing>
            </w:r>
          </w:p>
        </w:tc>
        <w:tc>
          <w:tcPr>
            <w:tcW w:w="1236" w:type="pct"/>
            <w:tcBorders>
              <w:top w:val="single" w:color="000000" w:sz="4" w:space="0"/>
              <w:left w:val="single" w:color="000000" w:sz="4" w:space="0"/>
              <w:bottom w:val="single" w:color="000000" w:sz="4" w:space="0"/>
              <w:right w:val="single" w:color="000000" w:sz="4" w:space="0"/>
            </w:tcBorders>
            <w:shd w:val="clear"/>
            <w:noWrap/>
            <w:vAlign w:val="center"/>
          </w:tcPr>
          <w:p w14:paraId="44BE7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C326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80" w:hRule="atLeast"/>
        </w:trPr>
        <w:tc>
          <w:tcPr>
            <w:tcW w:w="357" w:type="pct"/>
            <w:tcBorders>
              <w:top w:val="single" w:color="000000" w:sz="4" w:space="0"/>
              <w:left w:val="single" w:color="000000" w:sz="4" w:space="0"/>
              <w:bottom w:val="single" w:color="000000" w:sz="4" w:space="0"/>
              <w:right w:val="single" w:color="000000" w:sz="4" w:space="0"/>
            </w:tcBorders>
            <w:shd w:val="clear"/>
            <w:noWrap/>
            <w:vAlign w:val="center"/>
          </w:tcPr>
          <w:p w14:paraId="2073A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AED培训机</w:t>
            </w: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9CA6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345" w:type="pct"/>
            <w:tcBorders>
              <w:top w:val="single" w:color="000000" w:sz="4" w:space="0"/>
              <w:left w:val="single" w:color="000000" w:sz="4" w:space="0"/>
              <w:bottom w:val="single" w:color="000000" w:sz="4" w:space="0"/>
              <w:right w:val="single" w:color="000000" w:sz="4" w:space="0"/>
            </w:tcBorders>
            <w:shd w:val="clear"/>
            <w:vAlign w:val="center"/>
          </w:tcPr>
          <w:p w14:paraId="3FA85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 主机物理规格/性能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1.1整机重量（含电池）≤1.7Kg</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1.2尺寸≤21.0 cm x 28.6 cm x 7.8 cm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1.3设备具备便携把手，具备高便携性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 电极片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2.1支持成人小儿电极片使用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2.2电极片上具有电极片粘贴方式示意图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▲2.3主机上有电极片粘贴位置动画提示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▲2.4电极片可重复使用、可更换，要求线缆不换，仅仅换电极片，节约用户成本</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 电池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3.1电池供电，DC12V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3.2 可适配各品牌5号电池（一次性、充电电池均可）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 屏幕/操作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▲4.1提供7寸彩色显示屏，支持动画指导用户执行急救操作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4.2提供中英文双语语音提示，可一键快速切换中英文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4.3支持成人/小儿患者类型快速切换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4.4支持开盖开机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 遥控器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5.1通过无线红外线方式与主机之间传输指令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5.2电池供电， DC3V</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5.3可适配各品牌7号电池（AAA）</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5.5按钮选择功能须具有模拟：电极片接好模式、建议电击模式（可电击节律）、电极片未接好模式、无电击模式（正常节律）等功能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▲5.6可遥控训练机播放/停止播放动画</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5.7 可近距离遥控多台培训机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 仿真内容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▲6.1培训机应仿制真正除颤仪主机、显示窗口与真正AED的外型、尺寸操作方法一致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6.2由遥控器控制，具有6种基本训练场景及4种可选的模拟训练模式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6.3语音提示提供高、中、低、静音音量设置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6.4培训机本身没有电流输出，但可模拟真正AED的各项操作，并可根据客户要求调节成多种急救过程，供培训使用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6.5有电极片是否贴好的显示，由遥控器控制模拟贴好或没贴好的状态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6.6训练机可设置CPR模式及节奏音：30:2、15:2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▲6.7同时支持半自动、全自动两种放电模式</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5D5FBAF">
            <w:pPr>
              <w:jc w:val="center"/>
              <w:rPr>
                <w:rFonts w:hint="eastAsia" w:ascii="宋体" w:hAnsi="宋体" w:eastAsia="宋体" w:cs="宋体"/>
                <w:i w:val="0"/>
                <w:iCs w:val="0"/>
                <w:color w:val="000000"/>
                <w:sz w:val="22"/>
                <w:szCs w:val="22"/>
                <w:u w:val="none"/>
              </w:rPr>
            </w:pPr>
          </w:p>
        </w:tc>
        <w:tc>
          <w:tcPr>
            <w:tcW w:w="248" w:type="pct"/>
            <w:tcBorders>
              <w:top w:val="single" w:color="000000" w:sz="4" w:space="0"/>
              <w:left w:val="single" w:color="000000" w:sz="4" w:space="0"/>
              <w:bottom w:val="single" w:color="000000" w:sz="4" w:space="0"/>
              <w:right w:val="single" w:color="000000" w:sz="4" w:space="0"/>
            </w:tcBorders>
            <w:shd w:val="clear"/>
            <w:noWrap/>
            <w:vAlign w:val="center"/>
          </w:tcPr>
          <w:p w14:paraId="7FA03C0D">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247650</wp:posOffset>
                  </wp:positionH>
                  <wp:positionV relativeFrom="paragraph">
                    <wp:posOffset>-843915</wp:posOffset>
                  </wp:positionV>
                  <wp:extent cx="2076450" cy="1688465"/>
                  <wp:effectExtent l="0" t="0" r="6350" b="635"/>
                  <wp:wrapNone/>
                  <wp:docPr id="4" name="图片_7"/>
                  <wp:cNvGraphicFramePr/>
                  <a:graphic xmlns:a="http://schemas.openxmlformats.org/drawingml/2006/main">
                    <a:graphicData uri="http://schemas.openxmlformats.org/drawingml/2006/picture">
                      <pic:pic xmlns:pic="http://schemas.openxmlformats.org/drawingml/2006/picture">
                        <pic:nvPicPr>
                          <pic:cNvPr id="4" name="图片_7"/>
                          <pic:cNvPicPr/>
                        </pic:nvPicPr>
                        <pic:blipFill>
                          <a:blip r:embed="rId6"/>
                          <a:stretch>
                            <a:fillRect/>
                          </a:stretch>
                        </pic:blipFill>
                        <pic:spPr>
                          <a:xfrm>
                            <a:off x="0" y="0"/>
                            <a:ext cx="2076450" cy="1688465"/>
                          </a:xfrm>
                          <a:prstGeom prst="rect">
                            <a:avLst/>
                          </a:prstGeom>
                          <a:noFill/>
                          <a:ln>
                            <a:noFill/>
                          </a:ln>
                        </pic:spPr>
                      </pic:pic>
                    </a:graphicData>
                  </a:graphic>
                </wp:anchor>
              </w:drawing>
            </w:r>
          </w:p>
        </w:tc>
        <w:tc>
          <w:tcPr>
            <w:tcW w:w="276" w:type="pct"/>
            <w:tcBorders>
              <w:top w:val="single" w:color="000000" w:sz="4" w:space="0"/>
              <w:left w:val="single" w:color="000000" w:sz="4" w:space="0"/>
              <w:bottom w:val="single" w:color="000000" w:sz="4" w:space="0"/>
              <w:right w:val="single" w:color="000000" w:sz="4" w:space="0"/>
            </w:tcBorders>
            <w:shd w:val="clear"/>
            <w:noWrap/>
            <w:vAlign w:val="center"/>
          </w:tcPr>
          <w:p w14:paraId="5FDE1DE2">
            <w:pPr>
              <w:jc w:val="center"/>
              <w:rPr>
                <w:rFonts w:hint="eastAsia" w:ascii="宋体" w:hAnsi="宋体" w:eastAsia="宋体" w:cs="宋体"/>
                <w:i w:val="0"/>
                <w:iCs w:val="0"/>
                <w:color w:val="000000"/>
                <w:sz w:val="22"/>
                <w:szCs w:val="22"/>
                <w:u w:val="none"/>
              </w:rPr>
            </w:pPr>
          </w:p>
        </w:tc>
        <w:tc>
          <w:tcPr>
            <w:tcW w:w="1236" w:type="pct"/>
            <w:tcBorders>
              <w:top w:val="single" w:color="000000" w:sz="4" w:space="0"/>
              <w:left w:val="single" w:color="000000" w:sz="4" w:space="0"/>
              <w:bottom w:val="single" w:color="000000" w:sz="4" w:space="0"/>
              <w:right w:val="single" w:color="000000" w:sz="4" w:space="0"/>
            </w:tcBorders>
            <w:shd w:val="clear"/>
            <w:noWrap/>
            <w:vAlign w:val="center"/>
          </w:tcPr>
          <w:p w14:paraId="39FAE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28C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75" w:hRule="atLeast"/>
        </w:trPr>
        <w:tc>
          <w:tcPr>
            <w:tcW w:w="357" w:type="pct"/>
            <w:tcBorders>
              <w:top w:val="single" w:color="000000" w:sz="4" w:space="0"/>
              <w:left w:val="single" w:color="000000" w:sz="4" w:space="0"/>
              <w:bottom w:val="single" w:color="000000" w:sz="4" w:space="0"/>
              <w:right w:val="single" w:color="000000" w:sz="4" w:space="0"/>
            </w:tcBorders>
            <w:shd w:val="clear"/>
            <w:noWrap/>
            <w:vAlign w:val="center"/>
          </w:tcPr>
          <w:p w14:paraId="24D70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多功能抢救床</w:t>
            </w:r>
          </w:p>
        </w:tc>
        <w:tc>
          <w:tcPr>
            <w:tcW w:w="281" w:type="pct"/>
            <w:tcBorders>
              <w:top w:val="single" w:color="000000" w:sz="4" w:space="0"/>
              <w:left w:val="single" w:color="000000" w:sz="4" w:space="0"/>
              <w:bottom w:val="single" w:color="000000" w:sz="4" w:space="0"/>
              <w:right w:val="single" w:color="000000" w:sz="4" w:space="0"/>
            </w:tcBorders>
            <w:shd w:val="clear"/>
            <w:noWrap/>
            <w:vAlign w:val="center"/>
          </w:tcPr>
          <w:p w14:paraId="44AE1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345" w:type="pct"/>
            <w:tcBorders>
              <w:top w:val="single" w:color="000000" w:sz="4" w:space="0"/>
              <w:left w:val="single" w:color="000000" w:sz="4" w:space="0"/>
              <w:bottom w:val="single" w:color="000000" w:sz="4" w:space="0"/>
              <w:right w:val="single" w:color="000000" w:sz="4" w:space="0"/>
            </w:tcBorders>
            <w:shd w:val="clear"/>
            <w:vAlign w:val="center"/>
          </w:tcPr>
          <w:p w14:paraId="05457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1、规格：全长1930mm，宽663mm，高低升降510—850mm，背部升降0—70°。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2、安全工作载荷170KG</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3、背部升降系统：背部升降采用静音气弹簧控制。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4、高低调节：金属材质摇杆系统，过载保护功能，不易折断。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5、床板：PP树脂成型制品。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6、框架：采用钢制/部分铝制品制成。</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7、护栏板： PP树脂成型两侧护栏板，高度300mm，患者更安全，也可以水平固定，增加床体宽度，让输液者的手臂有舒适的放置处；并具有双安全锁进行锁定，防止误操作，提高了操作的安全性。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8、护栏板上设有角度显示，方便护理时知道背部升起的角度；两侧护栏板中间有凹槽，防止导管滑落，方便输液引流。铝压铸一体成型护栏支架，强度更高，人性化，外观更好。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9、脚轮：中控锁双面带防缠绕功能脚轮，防止头发等杂物进入脚轮内部而造成推行故障，四个直径150mm的脚轮，推车四角都有脚轮控制系统，一脚制动，四轮同时固定。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10、中控刹车连动杆采用一体化圆管成型，保证更高的强度。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独立的中心第五轮系统：推车的两侧都安装有控制踏杆，中心第五轮收起时即自由行进；使用时，即“直行”状态（踏杆离地高度70mm，通过性更好），克服运送过程中的惯性作用力，有效地控制前进方向，使运送过程更加安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12、床体下有二段式托盘，托盘分为大小、深浅不同的两部分，设有6个漏水孔，使用方便，托盘能承重10Kg。</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13、输液架收藏架，固定收藏输液架。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14、氧气瓶搁架，可放置容量500公升（直径105-115mm）的氧气瓶。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15、转运床垫：面料表面防水处理，易于清洗，四角装有拉链，外部面料可水洗；防静电3段式构造，只需一人操作即可以平行对接和转运病人。</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003065F2">
            <w:pPr>
              <w:jc w:val="center"/>
              <w:rPr>
                <w:rFonts w:hint="eastAsia" w:ascii="宋体" w:hAnsi="宋体" w:eastAsia="宋体" w:cs="宋体"/>
                <w:i w:val="0"/>
                <w:iCs w:val="0"/>
                <w:color w:val="000000"/>
                <w:sz w:val="22"/>
                <w:szCs w:val="22"/>
                <w:u w:val="none"/>
              </w:rPr>
            </w:pPr>
          </w:p>
        </w:tc>
        <w:tc>
          <w:tcPr>
            <w:tcW w:w="248" w:type="pct"/>
            <w:tcBorders>
              <w:top w:val="single" w:color="000000" w:sz="4" w:space="0"/>
              <w:left w:val="single" w:color="000000" w:sz="4" w:space="0"/>
              <w:bottom w:val="single" w:color="000000" w:sz="4" w:space="0"/>
              <w:right w:val="single" w:color="000000" w:sz="4" w:space="0"/>
            </w:tcBorders>
            <w:shd w:val="clear"/>
            <w:noWrap/>
            <w:vAlign w:val="center"/>
          </w:tcPr>
          <w:p w14:paraId="11075B30">
            <w:pPr>
              <w:jc w:val="center"/>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noWrap/>
            <w:vAlign w:val="center"/>
          </w:tcPr>
          <w:p w14:paraId="2D4B946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161290</wp:posOffset>
                  </wp:positionH>
                  <wp:positionV relativeFrom="paragraph">
                    <wp:posOffset>-699135</wp:posOffset>
                  </wp:positionV>
                  <wp:extent cx="2091690" cy="1685925"/>
                  <wp:effectExtent l="0" t="0" r="3810" b="3175"/>
                  <wp:wrapNone/>
                  <wp:docPr id="5" name="图片_4"/>
                  <wp:cNvGraphicFramePr/>
                  <a:graphic xmlns:a="http://schemas.openxmlformats.org/drawingml/2006/main">
                    <a:graphicData uri="http://schemas.openxmlformats.org/drawingml/2006/picture">
                      <pic:pic xmlns:pic="http://schemas.openxmlformats.org/drawingml/2006/picture">
                        <pic:nvPicPr>
                          <pic:cNvPr id="5" name="图片_4"/>
                          <pic:cNvPicPr/>
                        </pic:nvPicPr>
                        <pic:blipFill>
                          <a:blip r:embed="rId7"/>
                          <a:stretch>
                            <a:fillRect/>
                          </a:stretch>
                        </pic:blipFill>
                        <pic:spPr>
                          <a:xfrm>
                            <a:off x="0" y="0"/>
                            <a:ext cx="2091690" cy="1685925"/>
                          </a:xfrm>
                          <a:prstGeom prst="rect">
                            <a:avLst/>
                          </a:prstGeom>
                          <a:noFill/>
                          <a:ln>
                            <a:noFill/>
                          </a:ln>
                        </pic:spPr>
                      </pic:pic>
                    </a:graphicData>
                  </a:graphic>
                </wp:anchor>
              </w:drawing>
            </w:r>
          </w:p>
        </w:tc>
        <w:tc>
          <w:tcPr>
            <w:tcW w:w="1236" w:type="pct"/>
            <w:tcBorders>
              <w:top w:val="single" w:color="000000" w:sz="4" w:space="0"/>
              <w:left w:val="single" w:color="000000" w:sz="4" w:space="0"/>
              <w:bottom w:val="single" w:color="000000" w:sz="4" w:space="0"/>
              <w:right w:val="single" w:color="000000" w:sz="4" w:space="0"/>
            </w:tcBorders>
            <w:shd w:val="clear"/>
            <w:noWrap/>
            <w:vAlign w:val="center"/>
          </w:tcPr>
          <w:p w14:paraId="6C215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D09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20" w:hRule="atLeast"/>
        </w:trPr>
        <w:tc>
          <w:tcPr>
            <w:tcW w:w="357" w:type="pct"/>
            <w:tcBorders>
              <w:top w:val="single" w:color="000000" w:sz="4" w:space="0"/>
              <w:left w:val="single" w:color="000000" w:sz="4" w:space="0"/>
              <w:bottom w:val="single" w:color="000000" w:sz="4" w:space="0"/>
              <w:right w:val="single" w:color="000000" w:sz="4" w:space="0"/>
            </w:tcBorders>
            <w:shd w:val="clear"/>
            <w:noWrap/>
            <w:vAlign w:val="center"/>
          </w:tcPr>
          <w:p w14:paraId="19F93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急救车</w:t>
            </w:r>
          </w:p>
        </w:tc>
        <w:tc>
          <w:tcPr>
            <w:tcW w:w="281" w:type="pct"/>
            <w:tcBorders>
              <w:top w:val="single" w:color="000000" w:sz="4" w:space="0"/>
              <w:left w:val="single" w:color="000000" w:sz="4" w:space="0"/>
              <w:bottom w:val="single" w:color="000000" w:sz="4" w:space="0"/>
              <w:right w:val="single" w:color="000000" w:sz="4" w:space="0"/>
            </w:tcBorders>
            <w:shd w:val="clear"/>
            <w:noWrap/>
            <w:vAlign w:val="center"/>
          </w:tcPr>
          <w:p w14:paraId="21330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345" w:type="pct"/>
            <w:tcBorders>
              <w:top w:val="single" w:color="000000" w:sz="4" w:space="0"/>
              <w:left w:val="single" w:color="000000" w:sz="4" w:space="0"/>
              <w:bottom w:val="single" w:color="000000" w:sz="4" w:space="0"/>
              <w:right w:val="single" w:color="000000" w:sz="4" w:space="0"/>
            </w:tcBorders>
            <w:shd w:val="clear"/>
            <w:vAlign w:val="center"/>
          </w:tcPr>
          <w:p w14:paraId="0BCD9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规格尺寸：750*475*980MM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1.主要由铝•钢•ABS工程塑料结构组成；四柱承重；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2.ABS弧形底面注塑工艺成型两侧带有扶手，专业锐器盒，可左右任意摆放，凹陷设计可防止物品滑落，凹陷尺寸：512*433*12mm台面配有304材质不锈钢护栏，台面上配透明软玻璃;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3.车体左侧：隐藏式伸缩副工作台、档案盒；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4.车体右侧：配有隐藏式伸缩输液架、ABS双污物桶分色；</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5.车体背后：除颤板，隐藏式伸缩氧气瓶支架，活动5米电源线；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6.车体正面：中控锁，配置有五层抽屉、第一二层小抽面80mm，内空：424*375*68mm＊两中抽面120mm内空：424*375*110mm＊一深抽面240mm内空：424*375*220mm抽屉内 3*3分隔片，可自由分隔，＊抽屉拉手为燕尾款式、封口插槽式标示牌、防止液体及灰尘进入；标签式面积根据人体工程学原理设计、插槽式向上倾斜便于观望、拉手内层模具加厚手感更加踏实；</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7.车体底部：豪华万向插入式静音轮，其中两只带刹车功能，脚轮材料为高强度聚氨酯。防静电、防毛发缠绕、移动轻便灵活； </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6B69CBDC">
            <w:pPr>
              <w:jc w:val="center"/>
              <w:rPr>
                <w:rFonts w:hint="eastAsia" w:ascii="宋体" w:hAnsi="宋体" w:eastAsia="宋体" w:cs="宋体"/>
                <w:i w:val="0"/>
                <w:iCs w:val="0"/>
                <w:color w:val="000000"/>
                <w:sz w:val="22"/>
                <w:szCs w:val="22"/>
                <w:u w:val="none"/>
              </w:rPr>
            </w:pPr>
          </w:p>
        </w:tc>
        <w:tc>
          <w:tcPr>
            <w:tcW w:w="248" w:type="pct"/>
            <w:tcBorders>
              <w:top w:val="single" w:color="000000" w:sz="4" w:space="0"/>
              <w:left w:val="single" w:color="000000" w:sz="4" w:space="0"/>
              <w:bottom w:val="single" w:color="000000" w:sz="4" w:space="0"/>
              <w:right w:val="single" w:color="000000" w:sz="4" w:space="0"/>
            </w:tcBorders>
            <w:shd w:val="clear"/>
            <w:noWrap/>
            <w:vAlign w:val="center"/>
          </w:tcPr>
          <w:p w14:paraId="3A4981D5">
            <w:pPr>
              <w:jc w:val="center"/>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noWrap/>
            <w:vAlign w:val="center"/>
          </w:tcPr>
          <w:p w14:paraId="3113424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wp:posOffset>
                  </wp:positionH>
                  <wp:positionV relativeFrom="paragraph">
                    <wp:posOffset>-760095</wp:posOffset>
                  </wp:positionV>
                  <wp:extent cx="1971040" cy="2199005"/>
                  <wp:effectExtent l="0" t="0" r="10160" b="10795"/>
                  <wp:wrapNone/>
                  <wp:docPr id="6" name="图片_6"/>
                  <wp:cNvGraphicFramePr/>
                  <a:graphic xmlns:a="http://schemas.openxmlformats.org/drawingml/2006/main">
                    <a:graphicData uri="http://schemas.openxmlformats.org/drawingml/2006/picture">
                      <pic:pic xmlns:pic="http://schemas.openxmlformats.org/drawingml/2006/picture">
                        <pic:nvPicPr>
                          <pic:cNvPr id="6" name="图片_6"/>
                          <pic:cNvPicPr/>
                        </pic:nvPicPr>
                        <pic:blipFill>
                          <a:blip r:embed="rId8"/>
                          <a:stretch>
                            <a:fillRect/>
                          </a:stretch>
                        </pic:blipFill>
                        <pic:spPr>
                          <a:xfrm>
                            <a:off x="0" y="0"/>
                            <a:ext cx="1971040" cy="2199005"/>
                          </a:xfrm>
                          <a:prstGeom prst="rect">
                            <a:avLst/>
                          </a:prstGeom>
                          <a:noFill/>
                          <a:ln>
                            <a:noFill/>
                          </a:ln>
                        </pic:spPr>
                      </pic:pic>
                    </a:graphicData>
                  </a:graphic>
                </wp:anchor>
              </w:drawing>
            </w:r>
          </w:p>
        </w:tc>
        <w:tc>
          <w:tcPr>
            <w:tcW w:w="1236" w:type="pct"/>
            <w:tcBorders>
              <w:top w:val="single" w:color="000000" w:sz="4" w:space="0"/>
              <w:left w:val="single" w:color="000000" w:sz="4" w:space="0"/>
              <w:bottom w:val="single" w:color="000000" w:sz="4" w:space="0"/>
              <w:right w:val="single" w:color="000000" w:sz="4" w:space="0"/>
            </w:tcBorders>
            <w:shd w:val="clear"/>
            <w:noWrap/>
            <w:vAlign w:val="center"/>
          </w:tcPr>
          <w:p w14:paraId="1670F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D03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357" w:type="pct"/>
            <w:tcBorders>
              <w:top w:val="single" w:color="000000" w:sz="4" w:space="0"/>
              <w:left w:val="single" w:color="000000" w:sz="4" w:space="0"/>
              <w:bottom w:val="single" w:color="000000" w:sz="4" w:space="0"/>
              <w:right w:val="single" w:color="000000" w:sz="4" w:space="0"/>
            </w:tcBorders>
            <w:shd w:val="clear"/>
            <w:noWrap/>
            <w:vAlign w:val="center"/>
          </w:tcPr>
          <w:p w14:paraId="4C535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示教机</w:t>
            </w:r>
          </w:p>
        </w:tc>
        <w:tc>
          <w:tcPr>
            <w:tcW w:w="281" w:type="pct"/>
            <w:tcBorders>
              <w:top w:val="single" w:color="000000" w:sz="4" w:space="0"/>
              <w:left w:val="single" w:color="000000" w:sz="4" w:space="0"/>
              <w:bottom w:val="single" w:color="000000" w:sz="4" w:space="0"/>
              <w:right w:val="single" w:color="000000" w:sz="4" w:space="0"/>
            </w:tcBorders>
            <w:shd w:val="clear"/>
            <w:noWrap/>
            <w:vAlign w:val="center"/>
          </w:tcPr>
          <w:p w14:paraId="31DF8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345" w:type="pct"/>
            <w:tcBorders>
              <w:top w:val="single" w:color="000000" w:sz="4" w:space="0"/>
              <w:left w:val="single" w:color="000000" w:sz="4" w:space="0"/>
              <w:bottom w:val="single" w:color="000000" w:sz="4" w:space="0"/>
              <w:right w:val="single" w:color="000000" w:sz="4" w:space="0"/>
            </w:tcBorders>
            <w:shd w:val="clear"/>
            <w:vAlign w:val="center"/>
          </w:tcPr>
          <w:p w14:paraId="3B653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配备21.5寸高清屏幕，分辨率1080P，Window标准操作系统兼容，支持丰富的第三方应用。内置实训系统主机软件，支持多路信号的直播与录制及回放等功能。硬件配件上搭配了500万像素12倍光学变焦、10倍数字变焦光学变焦镜头，同时高性能的系统，搭配低延时无线一键投屏，用户真正体验高清音视频的同步感受，极大促进实训教学高效率进行。另外根据实训系统需求，配备了无线蓝牙麦克风，高清内窥镜头等外部配件，同时内置的电池可支持连续8小时整机连续工作。</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415651C8">
            <w:pPr>
              <w:jc w:val="center"/>
              <w:rPr>
                <w:rFonts w:hint="eastAsia" w:ascii="宋体" w:hAnsi="宋体" w:eastAsia="宋体" w:cs="宋体"/>
                <w:i w:val="0"/>
                <w:iCs w:val="0"/>
                <w:color w:val="000000"/>
                <w:sz w:val="22"/>
                <w:szCs w:val="22"/>
                <w:u w:val="none"/>
              </w:rPr>
            </w:pPr>
          </w:p>
        </w:tc>
        <w:tc>
          <w:tcPr>
            <w:tcW w:w="248" w:type="pct"/>
            <w:tcBorders>
              <w:top w:val="single" w:color="000000" w:sz="4" w:space="0"/>
              <w:left w:val="single" w:color="000000" w:sz="4" w:space="0"/>
              <w:bottom w:val="single" w:color="000000" w:sz="4" w:space="0"/>
              <w:right w:val="single" w:color="000000" w:sz="4" w:space="0"/>
            </w:tcBorders>
            <w:shd w:val="clear"/>
            <w:noWrap/>
            <w:vAlign w:val="center"/>
          </w:tcPr>
          <w:p w14:paraId="46AC4648">
            <w:pPr>
              <w:jc w:val="center"/>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noWrap/>
            <w:vAlign w:val="center"/>
          </w:tcPr>
          <w:p w14:paraId="22B016E6">
            <w:pPr>
              <w:jc w:val="center"/>
              <w:rPr>
                <w:rFonts w:hint="eastAsia" w:ascii="宋体" w:hAnsi="宋体" w:eastAsia="宋体" w:cs="宋体"/>
                <w:i w:val="0"/>
                <w:iCs w:val="0"/>
                <w:color w:val="000000"/>
                <w:sz w:val="22"/>
                <w:szCs w:val="22"/>
                <w:u w:val="none"/>
              </w:rPr>
            </w:pPr>
          </w:p>
        </w:tc>
        <w:tc>
          <w:tcPr>
            <w:tcW w:w="1236" w:type="pct"/>
            <w:tcBorders>
              <w:top w:val="single" w:color="000000" w:sz="4" w:space="0"/>
              <w:left w:val="single" w:color="000000" w:sz="4" w:space="0"/>
              <w:bottom w:val="single" w:color="000000" w:sz="4" w:space="0"/>
              <w:right w:val="single" w:color="000000" w:sz="4" w:space="0"/>
            </w:tcBorders>
            <w:shd w:val="clear"/>
            <w:noWrap/>
            <w:vAlign w:val="center"/>
          </w:tcPr>
          <w:p w14:paraId="2D3B7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3038475" cy="3048000"/>
                  <wp:effectExtent l="0" t="0" r="9525"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3038475" cy="3048000"/>
                          </a:xfrm>
                          <a:prstGeom prst="rect">
                            <a:avLst/>
                          </a:prstGeom>
                          <a:noFill/>
                          <a:ln w="9525">
                            <a:noFill/>
                          </a:ln>
                        </pic:spPr>
                      </pic:pic>
                    </a:graphicData>
                  </a:graphic>
                </wp:inline>
              </w:drawing>
            </w:r>
          </w:p>
        </w:tc>
      </w:tr>
      <w:tr w14:paraId="18F9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357" w:type="pct"/>
            <w:tcBorders>
              <w:top w:val="single" w:color="000000" w:sz="4" w:space="0"/>
              <w:left w:val="single" w:color="000000" w:sz="4" w:space="0"/>
              <w:bottom w:val="single" w:color="000000" w:sz="4" w:space="0"/>
              <w:right w:val="single" w:color="000000" w:sz="4" w:space="0"/>
            </w:tcBorders>
            <w:shd w:val="clear"/>
            <w:vAlign w:val="center"/>
          </w:tcPr>
          <w:p w14:paraId="28158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海姆立克急救训练马甲</w:t>
            </w:r>
          </w:p>
        </w:tc>
        <w:tc>
          <w:tcPr>
            <w:tcW w:w="281" w:type="pct"/>
            <w:tcBorders>
              <w:top w:val="single" w:color="000000" w:sz="4" w:space="0"/>
              <w:left w:val="single" w:color="000000" w:sz="4" w:space="0"/>
              <w:bottom w:val="single" w:color="000000" w:sz="4" w:space="0"/>
              <w:right w:val="single" w:color="000000" w:sz="4" w:space="0"/>
            </w:tcBorders>
            <w:shd w:val="clear"/>
            <w:noWrap/>
            <w:vAlign w:val="center"/>
          </w:tcPr>
          <w:p w14:paraId="52060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345" w:type="pct"/>
            <w:tcBorders>
              <w:top w:val="single" w:color="000000" w:sz="4" w:space="0"/>
              <w:left w:val="single" w:color="000000" w:sz="4" w:space="0"/>
              <w:bottom w:val="single" w:color="000000" w:sz="4" w:space="0"/>
              <w:right w:val="single" w:color="000000" w:sz="4" w:space="0"/>
            </w:tcBorders>
            <w:shd w:val="clear"/>
            <w:noWrap/>
            <w:vAlign w:val="center"/>
          </w:tcPr>
          <w:p w14:paraId="0E299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成人标准款红色</w:t>
            </w:r>
          </w:p>
        </w:tc>
        <w:tc>
          <w:tcPr>
            <w:tcW w:w="253" w:type="pct"/>
            <w:tcBorders>
              <w:top w:val="single" w:color="000000" w:sz="4" w:space="0"/>
              <w:left w:val="single" w:color="000000" w:sz="4" w:space="0"/>
              <w:bottom w:val="single" w:color="000000" w:sz="4" w:space="0"/>
              <w:right w:val="single" w:color="000000" w:sz="4" w:space="0"/>
            </w:tcBorders>
            <w:shd w:val="clear"/>
            <w:noWrap/>
            <w:vAlign w:val="bottom"/>
          </w:tcPr>
          <w:p w14:paraId="704F83B7">
            <w:pPr>
              <w:rPr>
                <w:rFonts w:hint="eastAsia" w:ascii="宋体" w:hAnsi="宋体" w:eastAsia="宋体" w:cs="宋体"/>
                <w:i w:val="0"/>
                <w:iCs w:val="0"/>
                <w:color w:val="000000"/>
                <w:sz w:val="22"/>
                <w:szCs w:val="22"/>
                <w:u w:val="none"/>
              </w:rPr>
            </w:pPr>
          </w:p>
        </w:tc>
        <w:tc>
          <w:tcPr>
            <w:tcW w:w="248" w:type="pct"/>
            <w:tcBorders>
              <w:top w:val="single" w:color="000000" w:sz="4" w:space="0"/>
              <w:left w:val="single" w:color="000000" w:sz="4" w:space="0"/>
              <w:bottom w:val="single" w:color="000000" w:sz="4" w:space="0"/>
              <w:right w:val="single" w:color="000000" w:sz="4" w:space="0"/>
            </w:tcBorders>
            <w:shd w:val="clear"/>
            <w:noWrap/>
            <w:vAlign w:val="bottom"/>
          </w:tcPr>
          <w:p w14:paraId="44029B7A">
            <w:pPr>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noWrap/>
            <w:vAlign w:val="bottom"/>
          </w:tcPr>
          <w:p w14:paraId="10A48474">
            <w:pPr>
              <w:rPr>
                <w:rFonts w:hint="eastAsia" w:ascii="宋体" w:hAnsi="宋体" w:eastAsia="宋体" w:cs="宋体"/>
                <w:i w:val="0"/>
                <w:iCs w:val="0"/>
                <w:color w:val="000000"/>
                <w:sz w:val="22"/>
                <w:szCs w:val="22"/>
                <w:u w:val="none"/>
              </w:rPr>
            </w:pPr>
          </w:p>
        </w:tc>
        <w:tc>
          <w:tcPr>
            <w:tcW w:w="1236" w:type="pct"/>
            <w:tcBorders>
              <w:top w:val="single" w:color="000000" w:sz="4" w:space="0"/>
              <w:left w:val="single" w:color="000000" w:sz="4" w:space="0"/>
              <w:bottom w:val="single" w:color="000000" w:sz="4" w:space="0"/>
              <w:right w:val="single" w:color="000000" w:sz="4" w:space="0"/>
            </w:tcBorders>
            <w:shd w:val="clear"/>
            <w:noWrap/>
            <w:vAlign w:val="bottom"/>
          </w:tcPr>
          <w:p w14:paraId="07304AC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494030</wp:posOffset>
                  </wp:positionH>
                  <wp:positionV relativeFrom="paragraph">
                    <wp:posOffset>148590</wp:posOffset>
                  </wp:positionV>
                  <wp:extent cx="1496695" cy="1477010"/>
                  <wp:effectExtent l="0" t="0" r="1905" b="8890"/>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10"/>
                          <a:stretch>
                            <a:fillRect/>
                          </a:stretch>
                        </pic:blipFill>
                        <pic:spPr>
                          <a:xfrm>
                            <a:off x="0" y="0"/>
                            <a:ext cx="1496695" cy="1477010"/>
                          </a:xfrm>
                          <a:prstGeom prst="rect">
                            <a:avLst/>
                          </a:prstGeom>
                          <a:noFill/>
                          <a:ln>
                            <a:noFill/>
                          </a:ln>
                        </pic:spPr>
                      </pic:pic>
                    </a:graphicData>
                  </a:graphic>
                </wp:anchor>
              </w:drawing>
            </w:r>
          </w:p>
        </w:tc>
      </w:tr>
      <w:tr w14:paraId="7D31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7" w:type="pct"/>
            <w:tcBorders>
              <w:top w:val="single" w:color="000000" w:sz="4" w:space="0"/>
              <w:left w:val="single" w:color="000000" w:sz="4" w:space="0"/>
              <w:bottom w:val="single" w:color="000000" w:sz="4" w:space="0"/>
              <w:right w:val="single" w:color="000000" w:sz="4" w:space="0"/>
            </w:tcBorders>
            <w:shd w:val="clear"/>
            <w:noWrap/>
            <w:vAlign w:val="center"/>
          </w:tcPr>
          <w:p w14:paraId="1E855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营养泵</w:t>
            </w: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3C0A5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345" w:type="pct"/>
            <w:tcBorders>
              <w:top w:val="single" w:color="000000" w:sz="4" w:space="0"/>
              <w:left w:val="single" w:color="000000" w:sz="4" w:space="0"/>
              <w:bottom w:val="single" w:color="000000" w:sz="4" w:space="0"/>
              <w:right w:val="single" w:color="000000" w:sz="4" w:space="0"/>
            </w:tcBorders>
            <w:shd w:val="clear"/>
            <w:vAlign w:val="center"/>
          </w:tcPr>
          <w:p w14:paraId="02CDE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 误差：速度误差：±5%，流量误差：±5%</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 ★流速范围：1mL/h～2000mL/h，可按1、5、10mL/h递增或递减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 预置量范围：1ml~9999ml，以1、5、10ml递增或递减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 ★快排速度：600mL/h～2000mL/h可调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 ★具有反抽和冲洗功能，反抽速度/冲洗速度：600ml/h—2000ml/h 可调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 阻塞灵敏度：高、中、低三档可选择,高100～160 Kpa，中 80～120 Kpa，低40～100Kpa，可选择关闭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 报警功能：气泡报警、阻塞报警、完成报警、开门报警、欠压报警、电池耗尽报警、操作遗忘报警、速度异常报警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 具有报警声消除功能，即静音功能，部分报警音在消除2分钟内再次启动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 报警音量：高、中、低三档可选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 气泡灵敏度：≥90μL，可选择开或关</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 ★加热温度：范围：30℃～37℃ ，精度：±5℃（室温，流速 ≤ 200mL/h）</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 具有超温保护功能：＞（40-42）℃，超温报警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 记忆功能：历史记录30天，该记录可以输出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14. 具有无线功能，可对营养泵进行实时监视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15. 背光亮度：可分七级调节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16. 使用电源：交流输入：AC220V/50Hz，内部电池：DC12V，外接电源：DC12V（可连接车载12V电源）</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17. 连续工作：连续工作时间不小于24小时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18. ★内置电池工作时间：充电大于8小时，以100mL/h速度运行6小时以上欠压，欠压半小时后耗尽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19. 功耗：≤75VA含加热部分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20. 外形尺寸(mm)：150(长)×120(宽)×60(高) 不含底座及突出部分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21. 重量：约1.7kg</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22. 安全分类：П类和带内部电源以及具有应用部分的CF型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23. 防水等级：主壳体：IPX5 底座：IPX3</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24. 工作环境：环境温度：10℃～30℃；相对湿度：30%～75%（无结露）；大气压力：860 hPa～1060hPa；营养泵应在无强冲击振动，水和其它流体不能侵入装置内部，周围无腐蚀性气体的环境中工作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25. 存储环境：包装好的营养泵贮存在相对湿度不超过93%（无凝露），无腐蚀性气体通风良好的室内，且室内温度条件为：-20℃～+45℃</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5FDEED91">
            <w:pPr>
              <w:jc w:val="center"/>
              <w:rPr>
                <w:rFonts w:hint="eastAsia" w:ascii="宋体" w:hAnsi="宋体" w:eastAsia="宋体" w:cs="宋体"/>
                <w:i w:val="0"/>
                <w:iCs w:val="0"/>
                <w:color w:val="000000"/>
                <w:sz w:val="22"/>
                <w:szCs w:val="22"/>
                <w:u w:val="none"/>
              </w:rPr>
            </w:pPr>
          </w:p>
        </w:tc>
        <w:tc>
          <w:tcPr>
            <w:tcW w:w="248" w:type="pct"/>
            <w:tcBorders>
              <w:top w:val="single" w:color="000000" w:sz="4" w:space="0"/>
              <w:left w:val="single" w:color="000000" w:sz="4" w:space="0"/>
              <w:bottom w:val="single" w:color="000000" w:sz="4" w:space="0"/>
              <w:right w:val="single" w:color="000000" w:sz="4" w:space="0"/>
            </w:tcBorders>
            <w:shd w:val="clear"/>
            <w:noWrap/>
            <w:vAlign w:val="center"/>
          </w:tcPr>
          <w:p w14:paraId="56182B73">
            <w:pPr>
              <w:jc w:val="center"/>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noWrap/>
            <w:vAlign w:val="center"/>
          </w:tcPr>
          <w:p w14:paraId="138165C3">
            <w:pPr>
              <w:jc w:val="center"/>
              <w:rPr>
                <w:rFonts w:hint="eastAsia" w:ascii="宋体" w:hAnsi="宋体" w:eastAsia="宋体" w:cs="宋体"/>
                <w:i w:val="0"/>
                <w:iCs w:val="0"/>
                <w:color w:val="000000"/>
                <w:sz w:val="22"/>
                <w:szCs w:val="22"/>
                <w:u w:val="none"/>
              </w:rPr>
            </w:pPr>
          </w:p>
        </w:tc>
        <w:tc>
          <w:tcPr>
            <w:tcW w:w="1236" w:type="pct"/>
            <w:tcBorders>
              <w:top w:val="single" w:color="000000" w:sz="4" w:space="0"/>
              <w:left w:val="single" w:color="000000" w:sz="4" w:space="0"/>
              <w:bottom w:val="single" w:color="000000" w:sz="4" w:space="0"/>
              <w:right w:val="single" w:color="000000" w:sz="4" w:space="0"/>
            </w:tcBorders>
            <w:shd w:val="clear"/>
            <w:noWrap/>
            <w:vAlign w:val="center"/>
          </w:tcPr>
          <w:p w14:paraId="17258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267335</wp:posOffset>
                  </wp:positionV>
                  <wp:extent cx="1400175" cy="1421765"/>
                  <wp:effectExtent l="0" t="0" r="9525" b="635"/>
                  <wp:wrapNone/>
                  <wp:docPr id="8" name="图片_13"/>
                  <wp:cNvGraphicFramePr/>
                  <a:graphic xmlns:a="http://schemas.openxmlformats.org/drawingml/2006/main">
                    <a:graphicData uri="http://schemas.openxmlformats.org/drawingml/2006/picture">
                      <pic:pic xmlns:pic="http://schemas.openxmlformats.org/drawingml/2006/picture">
                        <pic:nvPicPr>
                          <pic:cNvPr id="8" name="图片_13"/>
                          <pic:cNvPicPr/>
                        </pic:nvPicPr>
                        <pic:blipFill>
                          <a:blip r:embed="rId11"/>
                          <a:stretch>
                            <a:fillRect/>
                          </a:stretch>
                        </pic:blipFill>
                        <pic:spPr>
                          <a:xfrm>
                            <a:off x="0" y="0"/>
                            <a:ext cx="1400175" cy="1421765"/>
                          </a:xfrm>
                          <a:prstGeom prst="rect">
                            <a:avLst/>
                          </a:prstGeom>
                          <a:noFill/>
                          <a:ln>
                            <a:noFill/>
                          </a:ln>
                        </pic:spPr>
                      </pic:pic>
                    </a:graphicData>
                  </a:graphic>
                </wp:anchor>
              </w:drawing>
            </w:r>
          </w:p>
        </w:tc>
      </w:tr>
      <w:tr w14:paraId="122A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33" w:hRule="atLeast"/>
        </w:trPr>
        <w:tc>
          <w:tcPr>
            <w:tcW w:w="357" w:type="pct"/>
            <w:tcBorders>
              <w:top w:val="single" w:color="000000" w:sz="4" w:space="0"/>
              <w:left w:val="single" w:color="000000" w:sz="4" w:space="0"/>
              <w:bottom w:val="single" w:color="000000" w:sz="4" w:space="0"/>
              <w:right w:val="single" w:color="000000" w:sz="4" w:space="0"/>
            </w:tcBorders>
            <w:shd w:val="clear"/>
            <w:noWrap/>
            <w:vAlign w:val="center"/>
          </w:tcPr>
          <w:p w14:paraId="36C53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注射泵（双通道）</w:t>
            </w: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3EB00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345" w:type="pct"/>
            <w:tcBorders>
              <w:top w:val="single" w:color="000000" w:sz="4" w:space="0"/>
              <w:left w:val="single" w:color="000000" w:sz="4" w:space="0"/>
              <w:bottom w:val="single" w:color="000000" w:sz="4" w:space="0"/>
              <w:right w:val="single" w:color="000000" w:sz="4" w:space="0"/>
            </w:tcBorders>
            <w:shd w:val="clear"/>
            <w:vAlign w:val="center"/>
          </w:tcPr>
          <w:p w14:paraId="36537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 注射泵可自动识别各类市场主流品牌注射器规格，支持自定义两种品牌注射器，适用于国内外生产的5ml、10ml、20ml、30ml、50/60ml普通已注册注射器。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 全彩双屏显示，两通道可同时运行，其中一通道修改操作，不影响另一通道的运行。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 ★流速范围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5mL注射器：0.1 mL/h～ 100mL/h；10mL注射器：0.1 mL/h ～400mL/h；20mL注射器：0.1 mL/h ～700mL/h；30mL 注射器：0.1 mL/h ～1000mL/h；50mL/60mL 注射器：0.1 mL/h ～2000mL/h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流速范围最小可按 0.1mL/h 变化，A、B通道的参数可以单独设定。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 流速误差≤±2%。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 预置量范围：0.1mL～9999.9mL 使用键盘输入最小可按 0.1mL变化。</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 丸剂量注射速度：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5mL注射器：100mL/h ；10mL注射器：100 mL/h ～400mL/h ；20ml注射器：100 mL/h ～700mL/h ；30mL注射器：100 mL/h ～1000mL/h ；50mL/60mL 注射器：100 mL/h ～2000mL/h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除 5ml 注射器不可变外，其他规格注射器丸剂量注射速度使用键盘输入最小可按 1mL/h变化。</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丸剂量范围：1mL～20mL最小可按 0.1mL 变化；丸剂量误差：≤±2%。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 ★快排功能：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5mL 注射器： 100mL/h；10mL 注射器：100 mL/h ～400mL/h ；20ml 注射器：100 mL/h ～700mL/h； 30mL 注射器：100 mL/h ～1000mL/h ；50mL/60mL 注射器：100 mL/h ～2000mL/h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快排功能最小可按 1mL/h 变化。</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 阻塞档位：阻塞档位有高、中、低三档可调整，对应的产生阻塞报警压力范围为：低：0.05MPa ± 0.02MPa； 中：0.09MPa ± 0.02MPa；高：0.13MPa ± 0.02MPa。</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 ★保持静脉开放（KVO）速度：速度范围：0.1mL/h～5.0mL/h，输入最小可按 0.1mL/h 变化;KVO 流速误差≤±2%;当注射速度大于 KVO 速度时，注射完成报警的同时转为 KVO 速度运行；当注射速度小于 KVO 速度时，注射完成只发出报警，注射速度不变。</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 声光报警：高亮报警灯柱，支持10类报警：阻塞报警、将近完成报警、操作遗忘报警、注射脱落报警、注射完成报警、欠压报警、电池电量耗尽报警、电机异常报警、安装错误报警、交流掉电报警。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 ★操作设置：采用数字键盘功能，选中需要修改的参数，摁下相应数字，保存即可完成修改。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 ★工作模式：速度模式、药量时间、体重模式、间歇模式、微量模式、 级联设置。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 在线滴定功能：安全不中断输液而更改速率。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14. 注射器自动识别：注射泵对装载各适用品牌的注射器规格均可自动识别。</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15. 交直流自动切换：交流连接可给电池充电，交流断电自动转换为机内电池。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16. 累计量显示：注射泵在不关机的情况下，可对所有注射的药液进行累计并显示。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17. 阻塞压力释放功能：注射泵发生阻塞报警时，注射泵可对阻塞压力进行部分释放。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18. 静音功能：选择静音按键，可对报警声音进行消音或临时静音。</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19. 速度超范围控制：当所设定的速度大于使用注射器所允许的最大速度时，将自动以该注射器所允许的最大速度运行。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20. 动态压力显示：在使用中可用条形图实时示意注射管路内部压力变化。</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21. 残留提示：注射泵按设置参数注射完成后，如注射器内仍有药液残留，会对操作者提示“药液残留”。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22. 记忆功能：注射泵可以对最后一次运行的设定参数进行储存。</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23. 通道休眠功能：未参与注射工作的通道会进入休眠模式，以便降低功耗。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24. 历史记录功能：注射泵可对使用数据进行记录。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25. 报警音量多级可调：根据用户的使用环境可对报警音进行调整。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26. 夜间模式/省电模式：可切换到夜间模式，在此模式下报警音减小、显示屏亮度降低，可降低功耗。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27. 防虹吸功能：按下推头按钮，使推头卡爪卡到注射器手柄，松开推头按钮，推头组卡住，药液不会出现虹吸和回流现象。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28. 开机自检功能：注射泵可以在开机时进行自检，项目为：指示灯、喇叭、电源、软件版本、系统时间和电机，其中电机检测到异常时无法正常开机使用。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29. 键盘锁功能：注射泵在运行状态下具有按键锁功能，按键锁时间可设置，设置范围为 0～10 分钟（min），使用键盘最小可按 1min 变化（0表示关闭按键锁功能）。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30. 内部电池充电完成后，注射泵以 5mL/h 的速度进行注射：单通道可连续工作不小于于8小时，双通道可连续工作不小于 5 小时。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31. 安全分类：II类CF型，防进液等级IPX3</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32. 重量：约2.9kg</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33. 外观小尺寸：248×144×196mm；重量：2.9KG.</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34. 工作环境：环境温度：5℃～40℃；相对湿度：30%～80%（无结露）。；大气压力：700hPa～1060hPa。</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35. 使用电源：交流输入：AC100～240V 允差±10%； 50/60Hz 允差±2Hz。</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内部电池：DC10.8V 允差±10%。输入功率: ≤40VA。</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注射泵应在无强冲击振动，水和其它流体不能侵入装置内部，周围无腐蚀性气体的环境中工作。</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10C45E11">
            <w:pPr>
              <w:jc w:val="center"/>
              <w:rPr>
                <w:rFonts w:hint="eastAsia" w:ascii="宋体" w:hAnsi="宋体" w:eastAsia="宋体" w:cs="宋体"/>
                <w:i w:val="0"/>
                <w:iCs w:val="0"/>
                <w:color w:val="000000"/>
                <w:sz w:val="22"/>
                <w:szCs w:val="22"/>
                <w:u w:val="none"/>
              </w:rPr>
            </w:pPr>
          </w:p>
        </w:tc>
        <w:tc>
          <w:tcPr>
            <w:tcW w:w="248" w:type="pct"/>
            <w:tcBorders>
              <w:top w:val="single" w:color="000000" w:sz="4" w:space="0"/>
              <w:left w:val="single" w:color="000000" w:sz="4" w:space="0"/>
              <w:bottom w:val="single" w:color="000000" w:sz="4" w:space="0"/>
              <w:right w:val="single" w:color="000000" w:sz="4" w:space="0"/>
            </w:tcBorders>
            <w:shd w:val="clear"/>
            <w:noWrap/>
            <w:vAlign w:val="center"/>
          </w:tcPr>
          <w:p w14:paraId="34DF77B3">
            <w:pPr>
              <w:jc w:val="center"/>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noWrap/>
            <w:vAlign w:val="center"/>
          </w:tcPr>
          <w:p w14:paraId="0DBBDA3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326390</wp:posOffset>
                  </wp:positionH>
                  <wp:positionV relativeFrom="paragraph">
                    <wp:posOffset>-482600</wp:posOffset>
                  </wp:positionV>
                  <wp:extent cx="1933575" cy="1417955"/>
                  <wp:effectExtent l="0" t="0" r="9525" b="4445"/>
                  <wp:wrapNone/>
                  <wp:docPr id="9" name="图片_15"/>
                  <wp:cNvGraphicFramePr/>
                  <a:graphic xmlns:a="http://schemas.openxmlformats.org/drawingml/2006/main">
                    <a:graphicData uri="http://schemas.openxmlformats.org/drawingml/2006/picture">
                      <pic:pic xmlns:pic="http://schemas.openxmlformats.org/drawingml/2006/picture">
                        <pic:nvPicPr>
                          <pic:cNvPr id="9" name="图片_15"/>
                          <pic:cNvPicPr/>
                        </pic:nvPicPr>
                        <pic:blipFill>
                          <a:blip r:embed="rId12"/>
                          <a:stretch>
                            <a:fillRect/>
                          </a:stretch>
                        </pic:blipFill>
                        <pic:spPr>
                          <a:xfrm>
                            <a:off x="0" y="0"/>
                            <a:ext cx="1933575" cy="1417955"/>
                          </a:xfrm>
                          <a:prstGeom prst="rect">
                            <a:avLst/>
                          </a:prstGeom>
                          <a:noFill/>
                          <a:ln>
                            <a:noFill/>
                          </a:ln>
                        </pic:spPr>
                      </pic:pic>
                    </a:graphicData>
                  </a:graphic>
                </wp:anchor>
              </w:drawing>
            </w:r>
          </w:p>
        </w:tc>
        <w:tc>
          <w:tcPr>
            <w:tcW w:w="1236" w:type="pct"/>
            <w:tcBorders>
              <w:top w:val="single" w:color="000000" w:sz="4" w:space="0"/>
              <w:left w:val="single" w:color="000000" w:sz="4" w:space="0"/>
              <w:bottom w:val="single" w:color="000000" w:sz="4" w:space="0"/>
              <w:right w:val="single" w:color="000000" w:sz="4" w:space="0"/>
            </w:tcBorders>
            <w:shd w:val="clear"/>
            <w:noWrap/>
            <w:vAlign w:val="center"/>
          </w:tcPr>
          <w:p w14:paraId="12A1D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C9A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45" w:hRule="atLeast"/>
        </w:trPr>
        <w:tc>
          <w:tcPr>
            <w:tcW w:w="357" w:type="pct"/>
            <w:tcBorders>
              <w:top w:val="single" w:color="000000" w:sz="4" w:space="0"/>
              <w:left w:val="single" w:color="000000" w:sz="4" w:space="0"/>
              <w:bottom w:val="single" w:color="000000" w:sz="4" w:space="0"/>
              <w:right w:val="single" w:color="000000" w:sz="4" w:space="0"/>
            </w:tcBorders>
            <w:shd w:val="clear"/>
            <w:noWrap/>
            <w:vAlign w:val="center"/>
          </w:tcPr>
          <w:p w14:paraId="1C4FB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简易呼吸器</w:t>
            </w:r>
          </w:p>
        </w:tc>
        <w:tc>
          <w:tcPr>
            <w:tcW w:w="281" w:type="pct"/>
            <w:tcBorders>
              <w:top w:val="single" w:color="000000" w:sz="4" w:space="0"/>
              <w:left w:val="single" w:color="000000" w:sz="4" w:space="0"/>
              <w:bottom w:val="single" w:color="000000" w:sz="4" w:space="0"/>
              <w:right w:val="single" w:color="000000" w:sz="4" w:space="0"/>
            </w:tcBorders>
            <w:shd w:val="clear"/>
            <w:noWrap/>
            <w:vAlign w:val="center"/>
          </w:tcPr>
          <w:p w14:paraId="73F55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345" w:type="pct"/>
            <w:tcBorders>
              <w:top w:val="single" w:color="000000" w:sz="4" w:space="0"/>
              <w:left w:val="single" w:color="000000" w:sz="4" w:space="0"/>
              <w:bottom w:val="single" w:color="000000" w:sz="4" w:space="0"/>
              <w:right w:val="single" w:color="000000" w:sz="4" w:space="0"/>
            </w:tcBorders>
            <w:shd w:val="clear"/>
            <w:noWrap/>
            <w:vAlign w:val="center"/>
          </w:tcPr>
          <w:p w14:paraId="435ED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硅胶 成人 (12套/箱）</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2EEAF7EF">
            <w:pPr>
              <w:jc w:val="center"/>
              <w:rPr>
                <w:rFonts w:hint="eastAsia" w:ascii="宋体" w:hAnsi="宋体" w:eastAsia="宋体" w:cs="宋体"/>
                <w:i w:val="0"/>
                <w:iCs w:val="0"/>
                <w:color w:val="000000"/>
                <w:sz w:val="22"/>
                <w:szCs w:val="22"/>
                <w:u w:val="none"/>
              </w:rPr>
            </w:pPr>
          </w:p>
        </w:tc>
        <w:tc>
          <w:tcPr>
            <w:tcW w:w="248" w:type="pct"/>
            <w:tcBorders>
              <w:top w:val="single" w:color="000000" w:sz="4" w:space="0"/>
              <w:left w:val="single" w:color="000000" w:sz="4" w:space="0"/>
              <w:bottom w:val="single" w:color="000000" w:sz="4" w:space="0"/>
              <w:right w:val="single" w:color="000000" w:sz="4" w:space="0"/>
            </w:tcBorders>
            <w:shd w:val="clear"/>
            <w:noWrap/>
            <w:vAlign w:val="center"/>
          </w:tcPr>
          <w:p w14:paraId="5AB20CEC">
            <w:pPr>
              <w:jc w:val="center"/>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noWrap/>
            <w:vAlign w:val="center"/>
          </w:tcPr>
          <w:p w14:paraId="3630BA0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60325</wp:posOffset>
                  </wp:positionH>
                  <wp:positionV relativeFrom="paragraph">
                    <wp:posOffset>-236220</wp:posOffset>
                  </wp:positionV>
                  <wp:extent cx="2019300" cy="1133475"/>
                  <wp:effectExtent l="0" t="0" r="0" b="9525"/>
                  <wp:wrapNone/>
                  <wp:docPr id="10" name="图片_17"/>
                  <wp:cNvGraphicFramePr/>
                  <a:graphic xmlns:a="http://schemas.openxmlformats.org/drawingml/2006/main">
                    <a:graphicData uri="http://schemas.openxmlformats.org/drawingml/2006/picture">
                      <pic:pic xmlns:pic="http://schemas.openxmlformats.org/drawingml/2006/picture">
                        <pic:nvPicPr>
                          <pic:cNvPr id="10" name="图片_17"/>
                          <pic:cNvPicPr/>
                        </pic:nvPicPr>
                        <pic:blipFill>
                          <a:blip r:embed="rId13"/>
                          <a:stretch>
                            <a:fillRect/>
                          </a:stretch>
                        </pic:blipFill>
                        <pic:spPr>
                          <a:xfrm>
                            <a:off x="0" y="0"/>
                            <a:ext cx="2019300" cy="1133475"/>
                          </a:xfrm>
                          <a:prstGeom prst="rect">
                            <a:avLst/>
                          </a:prstGeom>
                          <a:noFill/>
                          <a:ln>
                            <a:noFill/>
                          </a:ln>
                        </pic:spPr>
                      </pic:pic>
                    </a:graphicData>
                  </a:graphic>
                </wp:anchor>
              </w:drawing>
            </w:r>
          </w:p>
        </w:tc>
        <w:tc>
          <w:tcPr>
            <w:tcW w:w="1236" w:type="pct"/>
            <w:tcBorders>
              <w:top w:val="single" w:color="000000" w:sz="4" w:space="0"/>
              <w:left w:val="single" w:color="000000" w:sz="4" w:space="0"/>
              <w:bottom w:val="single" w:color="000000" w:sz="4" w:space="0"/>
              <w:right w:val="single" w:color="000000" w:sz="4" w:space="0"/>
            </w:tcBorders>
            <w:shd w:val="clear"/>
            <w:noWrap/>
            <w:vAlign w:val="center"/>
          </w:tcPr>
          <w:p w14:paraId="2C544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CE06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0" w:hRule="atLeast"/>
        </w:trPr>
        <w:tc>
          <w:tcPr>
            <w:tcW w:w="357" w:type="pct"/>
            <w:tcBorders>
              <w:top w:val="single" w:color="000000" w:sz="4" w:space="0"/>
              <w:left w:val="single" w:color="000000" w:sz="4" w:space="0"/>
              <w:bottom w:val="single" w:color="000000" w:sz="4" w:space="0"/>
              <w:right w:val="single" w:color="000000" w:sz="4" w:space="0"/>
            </w:tcBorders>
            <w:shd w:val="clear"/>
            <w:noWrap/>
            <w:vAlign w:val="center"/>
          </w:tcPr>
          <w:p w14:paraId="00CFC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吸痰器</w:t>
            </w:r>
          </w:p>
        </w:tc>
        <w:tc>
          <w:tcPr>
            <w:tcW w:w="281" w:type="pct"/>
            <w:tcBorders>
              <w:top w:val="single" w:color="000000" w:sz="4" w:space="0"/>
              <w:left w:val="single" w:color="000000" w:sz="4" w:space="0"/>
              <w:bottom w:val="single" w:color="000000" w:sz="4" w:space="0"/>
              <w:right w:val="single" w:color="000000" w:sz="4" w:space="0"/>
            </w:tcBorders>
            <w:shd w:val="clear"/>
            <w:vAlign w:val="center"/>
          </w:tcPr>
          <w:p w14:paraId="1519E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345" w:type="pct"/>
            <w:tcBorders>
              <w:top w:val="single" w:color="000000" w:sz="4" w:space="0"/>
              <w:left w:val="single" w:color="000000" w:sz="4" w:space="0"/>
              <w:bottom w:val="single" w:color="000000" w:sz="4" w:space="0"/>
              <w:right w:val="single" w:color="000000" w:sz="4" w:space="0"/>
            </w:tcBorders>
            <w:shd w:val="clear"/>
            <w:vAlign w:val="center"/>
          </w:tcPr>
          <w:p w14:paraId="2C026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高负压/低流量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2、电源电压：AC220V±10%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3、频率：50Hz±2%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4、输入功率：90VA</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5、极限负压值：≥0.06MPa</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6、负压调节范围：0.02MPa至极限负压值</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7、抽气速率：≥15L/min</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8、熔丝管：F1.5AL250V, Ф5×20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9、储液瓶：≥1000mL，一只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10、噪声：≤65dB(A)</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11、净重：4kg</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12、外形尺寸：280×196×285(mm)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13、使用期限：5年(易损易耗件除外)</w:t>
            </w:r>
          </w:p>
        </w:tc>
        <w:tc>
          <w:tcPr>
            <w:tcW w:w="253" w:type="pct"/>
            <w:tcBorders>
              <w:top w:val="single" w:color="000000" w:sz="4" w:space="0"/>
              <w:left w:val="single" w:color="000000" w:sz="4" w:space="0"/>
              <w:bottom w:val="single" w:color="000000" w:sz="4" w:space="0"/>
              <w:right w:val="single" w:color="000000" w:sz="4" w:space="0"/>
            </w:tcBorders>
            <w:shd w:val="clear"/>
            <w:noWrap/>
            <w:vAlign w:val="center"/>
          </w:tcPr>
          <w:p w14:paraId="7F41CC86">
            <w:pPr>
              <w:jc w:val="center"/>
              <w:rPr>
                <w:rFonts w:hint="eastAsia" w:ascii="宋体" w:hAnsi="宋体" w:eastAsia="宋体" w:cs="宋体"/>
                <w:i w:val="0"/>
                <w:iCs w:val="0"/>
                <w:color w:val="000000"/>
                <w:sz w:val="22"/>
                <w:szCs w:val="22"/>
                <w:u w:val="none"/>
              </w:rPr>
            </w:pPr>
          </w:p>
        </w:tc>
        <w:tc>
          <w:tcPr>
            <w:tcW w:w="248" w:type="pct"/>
            <w:tcBorders>
              <w:top w:val="single" w:color="000000" w:sz="4" w:space="0"/>
              <w:left w:val="single" w:color="000000" w:sz="4" w:space="0"/>
              <w:bottom w:val="single" w:color="000000" w:sz="4" w:space="0"/>
              <w:right w:val="single" w:color="000000" w:sz="4" w:space="0"/>
            </w:tcBorders>
            <w:shd w:val="clear"/>
            <w:noWrap/>
            <w:vAlign w:val="center"/>
          </w:tcPr>
          <w:p w14:paraId="044517E2">
            <w:pPr>
              <w:jc w:val="center"/>
              <w:rPr>
                <w:rFonts w:hint="eastAsia" w:ascii="宋体" w:hAnsi="宋体" w:eastAsia="宋体" w:cs="宋体"/>
                <w:i w:val="0"/>
                <w:iCs w:val="0"/>
                <w:color w:val="000000"/>
                <w:sz w:val="22"/>
                <w:szCs w:val="22"/>
                <w:u w:val="none"/>
              </w:rPr>
            </w:pPr>
          </w:p>
        </w:tc>
        <w:tc>
          <w:tcPr>
            <w:tcW w:w="276" w:type="pct"/>
            <w:tcBorders>
              <w:top w:val="single" w:color="000000" w:sz="4" w:space="0"/>
              <w:left w:val="single" w:color="000000" w:sz="4" w:space="0"/>
              <w:bottom w:val="single" w:color="000000" w:sz="4" w:space="0"/>
              <w:right w:val="single" w:color="000000" w:sz="4" w:space="0"/>
            </w:tcBorders>
            <w:shd w:val="clear"/>
            <w:noWrap/>
            <w:vAlign w:val="center"/>
          </w:tcPr>
          <w:p w14:paraId="69FDD64F">
            <w:pPr>
              <w:jc w:val="center"/>
              <w:rPr>
                <w:rFonts w:hint="eastAsia" w:ascii="宋体" w:hAnsi="宋体" w:eastAsia="宋体" w:cs="宋体"/>
                <w:i w:val="0"/>
                <w:iCs w:val="0"/>
                <w:color w:val="000000"/>
                <w:sz w:val="22"/>
                <w:szCs w:val="22"/>
                <w:u w:val="none"/>
              </w:rPr>
            </w:pPr>
          </w:p>
        </w:tc>
        <w:tc>
          <w:tcPr>
            <w:tcW w:w="1236" w:type="pct"/>
            <w:tcBorders>
              <w:top w:val="single" w:color="000000" w:sz="4" w:space="0"/>
              <w:left w:val="single" w:color="000000" w:sz="4" w:space="0"/>
              <w:bottom w:val="single" w:color="000000" w:sz="4" w:space="0"/>
              <w:right w:val="single" w:color="000000" w:sz="4" w:space="0"/>
            </w:tcBorders>
            <w:shd w:val="clear"/>
            <w:noWrap/>
            <w:vAlign w:val="center"/>
          </w:tcPr>
          <w:p w14:paraId="1E4D2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35560</wp:posOffset>
                  </wp:positionH>
                  <wp:positionV relativeFrom="paragraph">
                    <wp:posOffset>382270</wp:posOffset>
                  </wp:positionV>
                  <wp:extent cx="1799590" cy="1246505"/>
                  <wp:effectExtent l="0" t="0" r="3810" b="10795"/>
                  <wp:wrapNone/>
                  <wp:docPr id="11" name="图片_2"/>
                  <wp:cNvGraphicFramePr/>
                  <a:graphic xmlns:a="http://schemas.openxmlformats.org/drawingml/2006/main">
                    <a:graphicData uri="http://schemas.openxmlformats.org/drawingml/2006/picture">
                      <pic:pic xmlns:pic="http://schemas.openxmlformats.org/drawingml/2006/picture">
                        <pic:nvPicPr>
                          <pic:cNvPr id="11" name="图片_2"/>
                          <pic:cNvPicPr/>
                        </pic:nvPicPr>
                        <pic:blipFill>
                          <a:blip r:embed="rId14"/>
                          <a:stretch>
                            <a:fillRect/>
                          </a:stretch>
                        </pic:blipFill>
                        <pic:spPr>
                          <a:xfrm>
                            <a:off x="0" y="0"/>
                            <a:ext cx="1799590" cy="1246505"/>
                          </a:xfrm>
                          <a:prstGeom prst="rect">
                            <a:avLst/>
                          </a:prstGeom>
                          <a:noFill/>
                          <a:ln>
                            <a:noFill/>
                          </a:ln>
                        </pic:spPr>
                      </pic:pic>
                    </a:graphicData>
                  </a:graphic>
                </wp:anchor>
              </w:drawing>
            </w:r>
          </w:p>
        </w:tc>
      </w:tr>
      <w:tr w14:paraId="490B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840" w:hRule="atLeast"/>
        </w:trPr>
        <w:tc>
          <w:tcPr>
            <w:tcW w:w="357" w:type="pct"/>
            <w:tcBorders>
              <w:top w:val="single" w:color="000000" w:sz="4" w:space="0"/>
              <w:left w:val="single" w:color="000000" w:sz="4" w:space="0"/>
              <w:bottom w:val="single" w:color="000000" w:sz="4" w:space="0"/>
              <w:right w:val="single" w:color="000000" w:sz="4" w:space="0"/>
            </w:tcBorders>
            <w:shd w:val="clear"/>
            <w:noWrap/>
            <w:vAlign w:val="center"/>
          </w:tcPr>
          <w:p w14:paraId="7D3D5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bookmarkStart w:id="0" w:name="_GoBack"/>
            <w:bookmarkEnd w:id="0"/>
          </w:p>
        </w:tc>
        <w:tc>
          <w:tcPr>
            <w:tcW w:w="4642"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0F5C1523">
            <w:pPr>
              <w:jc w:val="both"/>
              <w:rPr>
                <w:rFonts w:hint="default" w:ascii="Segoe UI" w:hAnsi="Segoe UI" w:eastAsia="宋体" w:cs="Segoe UI"/>
                <w:i w:val="0"/>
                <w:iCs w:val="0"/>
                <w:color w:val="000000"/>
                <w:sz w:val="24"/>
                <w:szCs w:val="24"/>
                <w:u w:val="none"/>
                <w:lang w:val="en-US" w:eastAsia="zh-CN"/>
              </w:rPr>
            </w:pPr>
            <w:r>
              <w:rPr>
                <w:rFonts w:hint="eastAsia" w:ascii="Segoe UI" w:hAnsi="Segoe UI" w:eastAsia="宋体" w:cs="Segoe UI"/>
                <w:i w:val="0"/>
                <w:iCs w:val="0"/>
                <w:color w:val="000000"/>
                <w:sz w:val="24"/>
                <w:szCs w:val="24"/>
                <w:u w:val="none"/>
                <w:lang w:val="en-US" w:eastAsia="zh-CN"/>
              </w:rPr>
              <w:t>小写：         元、大写：                       元整。</w:t>
            </w:r>
          </w:p>
        </w:tc>
      </w:tr>
    </w:tbl>
    <w:p w14:paraId="0D10F8A6">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3243D"/>
    <w:multiLevelType w:val="singleLevel"/>
    <w:tmpl w:val="B27324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7466AC9"/>
    <w:rsid w:val="07B34C14"/>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5B648AC"/>
    <w:rsid w:val="160903E8"/>
    <w:rsid w:val="170462F8"/>
    <w:rsid w:val="17195864"/>
    <w:rsid w:val="17AE352F"/>
    <w:rsid w:val="18DF3200"/>
    <w:rsid w:val="193910E5"/>
    <w:rsid w:val="195135D8"/>
    <w:rsid w:val="1A7D5684"/>
    <w:rsid w:val="1AC15311"/>
    <w:rsid w:val="1B134EC3"/>
    <w:rsid w:val="1BA50EE0"/>
    <w:rsid w:val="1C2C52C5"/>
    <w:rsid w:val="1CAD5CEA"/>
    <w:rsid w:val="1CFF3D47"/>
    <w:rsid w:val="1D113FA4"/>
    <w:rsid w:val="1D5B7B20"/>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B11F9F"/>
    <w:rsid w:val="2ACB3D96"/>
    <w:rsid w:val="2B813F30"/>
    <w:rsid w:val="2B9525BA"/>
    <w:rsid w:val="2BA47F84"/>
    <w:rsid w:val="2BA70D47"/>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90C744C"/>
    <w:rsid w:val="39FA3AED"/>
    <w:rsid w:val="3A486159"/>
    <w:rsid w:val="3AAC7696"/>
    <w:rsid w:val="3AE86BAC"/>
    <w:rsid w:val="3B4D6C4F"/>
    <w:rsid w:val="3BEA48C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0B103D"/>
    <w:rsid w:val="4C5338DC"/>
    <w:rsid w:val="4C661EAD"/>
    <w:rsid w:val="4C8E350F"/>
    <w:rsid w:val="4D143759"/>
    <w:rsid w:val="4DF14748"/>
    <w:rsid w:val="4FDA5DC0"/>
    <w:rsid w:val="511D7321"/>
    <w:rsid w:val="52172637"/>
    <w:rsid w:val="521B665C"/>
    <w:rsid w:val="52DE7538"/>
    <w:rsid w:val="53D6057F"/>
    <w:rsid w:val="55677B7D"/>
    <w:rsid w:val="55751482"/>
    <w:rsid w:val="55A44E60"/>
    <w:rsid w:val="56793777"/>
    <w:rsid w:val="56D23F20"/>
    <w:rsid w:val="57524BAD"/>
    <w:rsid w:val="58696FE1"/>
    <w:rsid w:val="58967865"/>
    <w:rsid w:val="58DB0E89"/>
    <w:rsid w:val="59FD5891"/>
    <w:rsid w:val="5A4001CD"/>
    <w:rsid w:val="5A827677"/>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D3C632B"/>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CAA45F1"/>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text"/>
    <w:basedOn w:val="1"/>
    <w:link w:val="77"/>
    <w:qFormat/>
    <w:uiPriority w:val="99"/>
    <w:pPr>
      <w:jc w:val="left"/>
    </w:pPr>
    <w:rPr>
      <w:rFonts w:ascii="Calibri" w:hAnsi="Calibri" w:eastAsia="宋体" w:cs="Calibri"/>
      <w:szCs w:val="21"/>
    </w:rPr>
  </w:style>
  <w:style w:type="paragraph" w:styleId="9">
    <w:name w:val="Body Text Indent"/>
    <w:basedOn w:val="1"/>
    <w:link w:val="93"/>
    <w:qFormat/>
    <w:uiPriority w:val="0"/>
    <w:pPr>
      <w:spacing w:after="120"/>
      <w:ind w:left="420" w:leftChars="200"/>
    </w:pPr>
  </w:style>
  <w:style w:type="paragraph" w:styleId="10">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1">
    <w:name w:val="Date"/>
    <w:basedOn w:val="1"/>
    <w:next w:val="1"/>
    <w:link w:val="41"/>
    <w:unhideWhenUsed/>
    <w:qFormat/>
    <w:uiPriority w:val="99"/>
    <w:pPr>
      <w:ind w:left="100" w:leftChars="2500"/>
    </w:pPr>
  </w:style>
  <w:style w:type="paragraph" w:styleId="12">
    <w:name w:val="Balloon Text"/>
    <w:basedOn w:val="1"/>
    <w:link w:val="47"/>
    <w:unhideWhenUsed/>
    <w:qFormat/>
    <w:uiPriority w:val="99"/>
    <w:rPr>
      <w:sz w:val="18"/>
      <w:szCs w:val="18"/>
    </w:r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rPr>
      <w:rFonts w:ascii="等线" w:hAnsi="等线" w:eastAsia="等线" w:cs="Times New Roman"/>
    </w:rPr>
  </w:style>
  <w:style w:type="paragraph" w:styleId="16">
    <w:name w:val="toc 4"/>
    <w:basedOn w:val="1"/>
    <w:next w:val="1"/>
    <w:unhideWhenUsed/>
    <w:qFormat/>
    <w:uiPriority w:val="39"/>
    <w:pPr>
      <w:ind w:left="1260" w:leftChars="600"/>
    </w:pPr>
    <w:rPr>
      <w:rFonts w:ascii="等线" w:hAnsi="等线" w:eastAsia="等线" w:cs="Times New Roman"/>
    </w:rPr>
  </w:style>
  <w:style w:type="paragraph" w:styleId="17">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qFormat/>
    <w:uiPriority w:val="10"/>
    <w:pPr>
      <w:spacing w:before="240" w:after="60"/>
      <w:jc w:val="center"/>
      <w:outlineLvl w:val="0"/>
    </w:pPr>
    <w:rPr>
      <w:rFonts w:ascii="Cambria" w:hAnsi="Cambria"/>
      <w:b/>
      <w:kern w:val="0"/>
      <w:sz w:val="32"/>
    </w:rPr>
  </w:style>
  <w:style w:type="paragraph" w:styleId="20">
    <w:name w:val="annotation subject"/>
    <w:basedOn w:val="8"/>
    <w:next w:val="8"/>
    <w:link w:val="91"/>
    <w:unhideWhenUsed/>
    <w:qFormat/>
    <w:uiPriority w:val="99"/>
    <w:rPr>
      <w:rFonts w:asciiTheme="minorHAnsi" w:hAnsiTheme="minorHAnsi" w:eastAsiaTheme="minorEastAsia" w:cstheme="minorBidi"/>
      <w:b/>
      <w:bCs/>
      <w:szCs w:val="22"/>
    </w:rPr>
  </w:style>
  <w:style w:type="paragraph" w:styleId="21">
    <w:name w:val="Body Text First Indent"/>
    <w:basedOn w:val="2"/>
    <w:unhideWhenUsed/>
    <w:qFormat/>
    <w:uiPriority w:val="99"/>
    <w:pPr>
      <w:ind w:firstLine="420" w:firstLineChars="100"/>
    </w:pPr>
  </w:style>
  <w:style w:type="table" w:styleId="23">
    <w:name w:val="Table Grid"/>
    <w:basedOn w:val="22"/>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FollowedHyperlink"/>
    <w:basedOn w:val="24"/>
    <w:semiHidden/>
    <w:unhideWhenUsed/>
    <w:qFormat/>
    <w:uiPriority w:val="99"/>
    <w:rPr>
      <w:color w:val="800080"/>
      <w:u w:val="single"/>
    </w:rPr>
  </w:style>
  <w:style w:type="character" w:styleId="27">
    <w:name w:val="HTML Definition"/>
    <w:basedOn w:val="24"/>
    <w:semiHidden/>
    <w:unhideWhenUsed/>
    <w:qFormat/>
    <w:uiPriority w:val="99"/>
    <w:rPr>
      <w:i/>
      <w:iCs/>
    </w:rPr>
  </w:style>
  <w:style w:type="character" w:styleId="28">
    <w:name w:val="HTML Acronym"/>
    <w:basedOn w:val="24"/>
    <w:semiHidden/>
    <w:unhideWhenUsed/>
    <w:qFormat/>
    <w:uiPriority w:val="99"/>
  </w:style>
  <w:style w:type="character" w:styleId="29">
    <w:name w:val="HTML Variable"/>
    <w:basedOn w:val="24"/>
    <w:semiHidden/>
    <w:unhideWhenUsed/>
    <w:qFormat/>
    <w:uiPriority w:val="99"/>
  </w:style>
  <w:style w:type="character" w:styleId="30">
    <w:name w:val="Hyperlink"/>
    <w:basedOn w:val="24"/>
    <w:unhideWhenUsed/>
    <w:qFormat/>
    <w:uiPriority w:val="99"/>
    <w:rPr>
      <w:color w:val="0000FF"/>
      <w:u w:val="single"/>
    </w:rPr>
  </w:style>
  <w:style w:type="character" w:styleId="31">
    <w:name w:val="HTML Code"/>
    <w:basedOn w:val="24"/>
    <w:semiHidden/>
    <w:unhideWhenUsed/>
    <w:qFormat/>
    <w:uiPriority w:val="99"/>
    <w:rPr>
      <w:rFonts w:ascii="serif" w:hAnsi="serif" w:eastAsia="serif" w:cs="serif"/>
      <w:sz w:val="21"/>
      <w:szCs w:val="21"/>
    </w:rPr>
  </w:style>
  <w:style w:type="character" w:styleId="32">
    <w:name w:val="annotation reference"/>
    <w:basedOn w:val="24"/>
    <w:unhideWhenUsed/>
    <w:qFormat/>
    <w:uiPriority w:val="99"/>
    <w:rPr>
      <w:sz w:val="21"/>
      <w:szCs w:val="21"/>
    </w:rPr>
  </w:style>
  <w:style w:type="character" w:styleId="33">
    <w:name w:val="HTML Cite"/>
    <w:basedOn w:val="24"/>
    <w:semiHidden/>
    <w:unhideWhenUsed/>
    <w:qFormat/>
    <w:uiPriority w:val="99"/>
  </w:style>
  <w:style w:type="character" w:styleId="34">
    <w:name w:val="HTML Keyboard"/>
    <w:basedOn w:val="24"/>
    <w:semiHidden/>
    <w:unhideWhenUsed/>
    <w:qFormat/>
    <w:uiPriority w:val="99"/>
    <w:rPr>
      <w:rFonts w:hint="default" w:ascii="serif" w:hAnsi="serif" w:eastAsia="serif" w:cs="serif"/>
      <w:sz w:val="21"/>
      <w:szCs w:val="21"/>
    </w:rPr>
  </w:style>
  <w:style w:type="character" w:styleId="35">
    <w:name w:val="HTML Sample"/>
    <w:basedOn w:val="24"/>
    <w:semiHidden/>
    <w:unhideWhenUsed/>
    <w:qFormat/>
    <w:uiPriority w:val="99"/>
    <w:rPr>
      <w:rFonts w:hint="default" w:ascii="serif" w:hAnsi="serif" w:eastAsia="serif" w:cs="serif"/>
      <w:sz w:val="21"/>
      <w:szCs w:val="21"/>
    </w:r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4"/>
    <w:link w:val="14"/>
    <w:qFormat/>
    <w:uiPriority w:val="99"/>
    <w:rPr>
      <w:sz w:val="18"/>
      <w:szCs w:val="18"/>
    </w:rPr>
  </w:style>
  <w:style w:type="character" w:customStyle="1" w:styleId="40">
    <w:name w:val="页脚 Char"/>
    <w:basedOn w:val="24"/>
    <w:link w:val="13"/>
    <w:qFormat/>
    <w:uiPriority w:val="99"/>
    <w:rPr>
      <w:sz w:val="18"/>
      <w:szCs w:val="18"/>
    </w:rPr>
  </w:style>
  <w:style w:type="character" w:customStyle="1" w:styleId="41">
    <w:name w:val="日期 Char"/>
    <w:basedOn w:val="24"/>
    <w:link w:val="11"/>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4"/>
    <w:link w:val="12"/>
    <w:qFormat/>
    <w:uiPriority w:val="99"/>
    <w:rPr>
      <w:sz w:val="18"/>
      <w:szCs w:val="18"/>
    </w:rPr>
  </w:style>
  <w:style w:type="character" w:customStyle="1" w:styleId="48">
    <w:name w:val="标题 1 Char"/>
    <w:basedOn w:val="24"/>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4"/>
    <w:link w:val="4"/>
    <w:qFormat/>
    <w:uiPriority w:val="0"/>
    <w:rPr>
      <w:rFonts w:ascii="黑体" w:hAnsi="黑体" w:eastAsia="黑体" w:cs="Times New Roman"/>
      <w:sz w:val="32"/>
      <w:szCs w:val="24"/>
    </w:rPr>
  </w:style>
  <w:style w:type="character" w:customStyle="1" w:styleId="75">
    <w:name w:val="标题 3 Char"/>
    <w:basedOn w:val="24"/>
    <w:link w:val="5"/>
    <w:semiHidden/>
    <w:qFormat/>
    <w:uiPriority w:val="9"/>
    <w:rPr>
      <w:rFonts w:ascii="等线" w:hAnsi="等线" w:eastAsia="等线" w:cs="Times New Roman"/>
      <w:b/>
      <w:bCs/>
      <w:sz w:val="32"/>
      <w:szCs w:val="32"/>
    </w:rPr>
  </w:style>
  <w:style w:type="character" w:customStyle="1" w:styleId="76">
    <w:name w:val="标题 4 Char"/>
    <w:basedOn w:val="24"/>
    <w:link w:val="6"/>
    <w:semiHidden/>
    <w:qFormat/>
    <w:uiPriority w:val="9"/>
    <w:rPr>
      <w:rFonts w:ascii="等线 Light" w:hAnsi="等线 Light" w:eastAsia="等线 Light" w:cs="Times New Roman"/>
      <w:b/>
      <w:bCs/>
      <w:sz w:val="28"/>
      <w:szCs w:val="28"/>
    </w:rPr>
  </w:style>
  <w:style w:type="character" w:customStyle="1" w:styleId="77">
    <w:name w:val="批注文字 Char"/>
    <w:basedOn w:val="24"/>
    <w:link w:val="8"/>
    <w:qFormat/>
    <w:uiPriority w:val="99"/>
    <w:rPr>
      <w:rFonts w:ascii="Calibri" w:hAnsi="Calibri" w:eastAsia="宋体" w:cs="Calibri"/>
      <w:szCs w:val="21"/>
    </w:rPr>
  </w:style>
  <w:style w:type="character" w:customStyle="1" w:styleId="78">
    <w:name w:val="正文文本 Char"/>
    <w:basedOn w:val="24"/>
    <w:link w:val="2"/>
    <w:qFormat/>
    <w:uiPriority w:val="99"/>
    <w:rPr>
      <w:rFonts w:ascii="Times New Roman" w:hAnsi="Times New Roman" w:eastAsia="宋体" w:cs="Times New Roman"/>
      <w:sz w:val="28"/>
      <w:szCs w:val="20"/>
    </w:rPr>
  </w:style>
  <w:style w:type="character" w:customStyle="1" w:styleId="79">
    <w:name w:val="正文文本_"/>
    <w:basedOn w:val="24"/>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4"/>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20"/>
    <w:qFormat/>
    <w:uiPriority w:val="99"/>
    <w:rPr>
      <w:b/>
      <w:bCs/>
    </w:rPr>
  </w:style>
  <w:style w:type="paragraph" w:customStyle="1" w:styleId="92">
    <w:name w:val="正文2"/>
    <w:basedOn w:val="9"/>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4"/>
    <w:link w:val="9"/>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96">
    <w:name w:val="font11"/>
    <w:basedOn w:val="24"/>
    <w:qFormat/>
    <w:uiPriority w:val="0"/>
    <w:rPr>
      <w:rFonts w:hint="eastAsia" w:ascii="宋体" w:hAnsi="宋体" w:eastAsia="宋体" w:cs="宋体"/>
      <w:color w:val="000000"/>
      <w:sz w:val="28"/>
      <w:szCs w:val="28"/>
      <w:u w:val="none"/>
    </w:rPr>
  </w:style>
  <w:style w:type="character" w:customStyle="1" w:styleId="97">
    <w:name w:val="font21"/>
    <w:basedOn w:val="24"/>
    <w:qFormat/>
    <w:uiPriority w:val="0"/>
    <w:rPr>
      <w:rFonts w:hint="eastAsia" w:ascii="宋体" w:hAnsi="宋体" w:eastAsia="宋体" w:cs="宋体"/>
      <w:color w:val="000000"/>
      <w:sz w:val="28"/>
      <w:szCs w:val="28"/>
      <w:u w:val="none"/>
      <w:vertAlign w:val="superscript"/>
    </w:rPr>
  </w:style>
  <w:style w:type="character" w:customStyle="1" w:styleId="98">
    <w:name w:val="font31"/>
    <w:basedOn w:val="24"/>
    <w:qFormat/>
    <w:uiPriority w:val="0"/>
    <w:rPr>
      <w:rFonts w:hint="eastAsia" w:ascii="宋体" w:hAnsi="宋体" w:eastAsia="宋体" w:cs="宋体"/>
      <w:color w:val="000000"/>
      <w:sz w:val="24"/>
      <w:szCs w:val="24"/>
      <w:u w:val="none"/>
      <w:vertAlign w:val="superscript"/>
    </w:rPr>
  </w:style>
  <w:style w:type="character" w:customStyle="1" w:styleId="99">
    <w:name w:val="font01"/>
    <w:basedOn w:val="24"/>
    <w:qFormat/>
    <w:uiPriority w:val="0"/>
    <w:rPr>
      <w:rFonts w:hint="eastAsia" w:ascii="宋体" w:hAnsi="宋体" w:eastAsia="宋体" w:cs="宋体"/>
      <w:color w:val="000000"/>
      <w:sz w:val="24"/>
      <w:szCs w:val="24"/>
      <w:u w:val="none"/>
      <w:vertAlign w:val="superscript"/>
    </w:rPr>
  </w:style>
  <w:style w:type="character" w:customStyle="1" w:styleId="100">
    <w:name w:val="font41"/>
    <w:basedOn w:val="24"/>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4"/>
    <w:qFormat/>
    <w:uiPriority w:val="0"/>
    <w:rPr>
      <w:sz w:val="16"/>
      <w:szCs w:val="16"/>
    </w:rPr>
  </w:style>
  <w:style w:type="character" w:customStyle="1" w:styleId="103">
    <w:name w:val="sort-name-span"/>
    <w:basedOn w:val="24"/>
    <w:qFormat/>
    <w:uiPriority w:val="0"/>
  </w:style>
  <w:style w:type="character" w:customStyle="1" w:styleId="104">
    <w:name w:val="leaf"/>
    <w:basedOn w:val="24"/>
    <w:qFormat/>
    <w:uiPriority w:val="0"/>
  </w:style>
  <w:style w:type="character" w:customStyle="1" w:styleId="105">
    <w:name w:val="root"/>
    <w:basedOn w:val="24"/>
    <w:qFormat/>
    <w:uiPriority w:val="0"/>
  </w:style>
  <w:style w:type="character" w:customStyle="1" w:styleId="106">
    <w:name w:val="category-text"/>
    <w:basedOn w:val="24"/>
    <w:qFormat/>
    <w:uiPriority w:val="0"/>
    <w:rPr>
      <w:b/>
      <w:shd w:val="clear" w:fill="FFFFFF"/>
    </w:rPr>
  </w:style>
  <w:style w:type="character" w:customStyle="1" w:styleId="107">
    <w:name w:val="flow-name-span"/>
    <w:basedOn w:val="24"/>
    <w:qFormat/>
    <w:uiPriority w:val="0"/>
  </w:style>
  <w:style w:type="character" w:customStyle="1" w:styleId="108">
    <w:name w:val="form-textarea-print1"/>
    <w:basedOn w:val="24"/>
    <w:qFormat/>
    <w:uiPriority w:val="0"/>
    <w:rPr>
      <w:rFonts w:ascii="微软雅黑" w:hAnsi="微软雅黑" w:eastAsia="微软雅黑" w:cs="微软雅黑"/>
      <w:sz w:val="14"/>
      <w:szCs w:val="14"/>
    </w:rPr>
  </w:style>
  <w:style w:type="character" w:customStyle="1" w:styleId="109">
    <w:name w:val="font71"/>
    <w:basedOn w:val="24"/>
    <w:qFormat/>
    <w:uiPriority w:val="0"/>
    <w:rPr>
      <w:rFonts w:hint="eastAsia" w:ascii="仿宋" w:hAnsi="仿宋" w:eastAsia="仿宋" w:cs="仿宋"/>
      <w:b/>
      <w:bCs/>
      <w:color w:val="000000"/>
      <w:sz w:val="22"/>
      <w:szCs w:val="22"/>
      <w:u w:val="none"/>
    </w:rPr>
  </w:style>
  <w:style w:type="character" w:customStyle="1" w:styleId="110">
    <w:name w:val="font91"/>
    <w:basedOn w:val="24"/>
    <w:qFormat/>
    <w:uiPriority w:val="0"/>
    <w:rPr>
      <w:rFonts w:hint="eastAsia" w:ascii="仿宋" w:hAnsi="仿宋" w:eastAsia="仿宋" w:cs="仿宋"/>
      <w:color w:val="000000"/>
      <w:sz w:val="24"/>
      <w:szCs w:val="24"/>
      <w:u w:val="none"/>
    </w:rPr>
  </w:style>
  <w:style w:type="character" w:customStyle="1" w:styleId="111">
    <w:name w:val="font112"/>
    <w:basedOn w:val="24"/>
    <w:qFormat/>
    <w:uiPriority w:val="0"/>
    <w:rPr>
      <w:rFonts w:ascii="Arial" w:hAnsi="Arial" w:cs="Arial"/>
      <w:color w:val="000000"/>
      <w:sz w:val="24"/>
      <w:szCs w:val="24"/>
      <w:u w:val="none"/>
    </w:rPr>
  </w:style>
  <w:style w:type="character" w:customStyle="1" w:styleId="112">
    <w:name w:val="font81"/>
    <w:basedOn w:val="24"/>
    <w:qFormat/>
    <w:uiPriority w:val="0"/>
    <w:rPr>
      <w:rFonts w:hint="eastAsia" w:ascii="仿宋" w:hAnsi="仿宋" w:eastAsia="仿宋" w:cs="仿宋"/>
      <w:color w:val="000000"/>
      <w:sz w:val="24"/>
      <w:szCs w:val="24"/>
      <w:u w:val="none"/>
    </w:rPr>
  </w:style>
  <w:style w:type="character" w:customStyle="1" w:styleId="113">
    <w:name w:val="font121"/>
    <w:basedOn w:val="24"/>
    <w:qFormat/>
    <w:uiPriority w:val="0"/>
    <w:rPr>
      <w:rFonts w:hint="default" w:ascii="Arial" w:hAnsi="Arial" w:cs="Arial"/>
      <w:color w:val="000000"/>
      <w:sz w:val="24"/>
      <w:szCs w:val="24"/>
      <w:u w:val="none"/>
    </w:rPr>
  </w:style>
  <w:style w:type="character" w:customStyle="1" w:styleId="114">
    <w:name w:val="font101"/>
    <w:basedOn w:val="24"/>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289</Words>
  <Characters>300</Characters>
  <Lines>2</Lines>
  <Paragraphs>1</Paragraphs>
  <TotalTime>3</TotalTime>
  <ScaleCrop>false</ScaleCrop>
  <LinksUpToDate>false</LinksUpToDate>
  <CharactersWithSpaces>364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WPS_1668926006</cp:lastModifiedBy>
  <cp:lastPrinted>2024-03-28T07:23:00Z</cp:lastPrinted>
  <dcterms:modified xsi:type="dcterms:W3CDTF">2025-07-25T01:00:25Z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69C1F8B650824AF8983A89B80EE1BB85_13</vt:lpwstr>
  </property>
  <property fmtid="{D5CDD505-2E9C-101B-9397-08002B2CF9AE}" pid="4" name="KSOTemplateDocerSaveRecord">
    <vt:lpwstr>eyJoZGlkIjoiOTA3ZmZlOWI0ZTE5NThiN2Q3OWZlMjhiYTZjOTcxZDAiLCJ1c2VySWQiOiIxNDQ0NzkzMzgxIn0=</vt:lpwstr>
  </property>
</Properties>
</file>