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default" w:asciiTheme="majorEastAsia" w:hAnsiTheme="majorEastAsia" w:eastAsiaTheme="majorEastAsia" w:cstheme="majorEastAsia"/>
          <w:b/>
          <w:bCs/>
          <w:color w:val="333333"/>
          <w:sz w:val="32"/>
          <w:szCs w:val="32"/>
          <w:lang w:val="en-US" w:eastAsia="zh-CN"/>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lang w:val="en-US" w:eastAsia="zh-CN"/>
        </w:rPr>
        <w:t>2026年智能制造学院实验实训耗材及相关服务</w:t>
      </w:r>
      <w:r>
        <w:rPr>
          <w:rFonts w:hint="default" w:asciiTheme="majorEastAsia" w:hAnsiTheme="majorEastAsia" w:eastAsiaTheme="majorEastAsia" w:cstheme="majorEastAsia"/>
          <w:b/>
          <w:bCs/>
          <w:color w:val="333333"/>
          <w:sz w:val="32"/>
          <w:szCs w:val="32"/>
          <w:lang w:val="en-US" w:eastAsia="zh-CN"/>
        </w:rPr>
        <w:t>”</w:t>
      </w:r>
    </w:p>
    <w:p>
      <w:pPr>
        <w:jc w:val="center"/>
        <w:rPr>
          <w:rFonts w:hint="eastAsia" w:asciiTheme="majorEastAsia" w:hAnsiTheme="majorEastAsia" w:eastAsiaTheme="majorEastAsia" w:cstheme="majorEastAsia"/>
          <w:b/>
          <w:bCs/>
          <w:sz w:val="32"/>
          <w:szCs w:val="32"/>
        </w:rPr>
      </w:pPr>
      <w:r>
        <w:rPr>
          <w:rFonts w:hint="default" w:asciiTheme="majorEastAsia" w:hAnsiTheme="majorEastAsia" w:eastAsiaTheme="majorEastAsia" w:cstheme="majorEastAsia"/>
          <w:b/>
          <w:bCs/>
          <w:color w:val="333333"/>
          <w:sz w:val="32"/>
          <w:szCs w:val="32"/>
          <w:lang w:val="en-US" w:eastAsia="zh-CN"/>
        </w:rPr>
        <w:t>招标控制价</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10</w:t>
      </w:r>
      <w:bookmarkStart w:id="0" w:name="_GoBack"/>
      <w:bookmarkEnd w:id="0"/>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67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2952"/>
        <w:gridCol w:w="275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2952"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2756"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660"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2026年智能制造学院实验实训耗材及相关服务</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2952"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见附件2</w:t>
            </w:r>
          </w:p>
        </w:tc>
        <w:tc>
          <w:tcPr>
            <w:tcW w:w="2756"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394"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394"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xml:space="preserve">　     </w:t>
      </w:r>
    </w:p>
    <w:p>
      <w:pPr>
        <w:spacing w:line="560" w:lineRule="exact"/>
        <w:jc w:val="both"/>
        <w:rPr>
          <w:rFonts w:hint="eastAsia" w:ascii="Calibri" w:hAnsi="Calibri" w:eastAsia="宋体" w:cs="Times New Roman"/>
          <w:b/>
          <w:bCs/>
          <w:color w:val="000000"/>
          <w:sz w:val="36"/>
          <w:szCs w:val="44"/>
          <w:lang w:val="en-US" w:eastAsia="zh-CN"/>
        </w:rPr>
      </w:pPr>
      <w:r>
        <w:rPr>
          <w:rFonts w:hint="eastAsia" w:ascii="Calibri" w:hAnsi="Calibri" w:eastAsia="宋体" w:cs="Times New Roman"/>
          <w:b/>
          <w:bCs/>
          <w:color w:val="000000"/>
          <w:sz w:val="36"/>
          <w:szCs w:val="44"/>
          <w:lang w:val="en-US" w:eastAsia="zh-CN"/>
        </w:rPr>
        <w:t>附件2：</w:t>
      </w:r>
    </w:p>
    <w:p>
      <w:pPr>
        <w:jc w:val="center"/>
        <w:rPr>
          <w:rFonts w:hint="eastAsia" w:ascii="黑体" w:hAnsi="黑体" w:eastAsia="黑体" w:cs="Times New Roman"/>
          <w:sz w:val="36"/>
          <w:szCs w:val="36"/>
        </w:rPr>
      </w:pPr>
      <w:r>
        <w:rPr>
          <w:rFonts w:hint="eastAsia" w:ascii="黑体" w:hAnsi="黑体" w:eastAsia="黑体" w:cs="Times New Roman"/>
          <w:sz w:val="36"/>
          <w:szCs w:val="36"/>
        </w:rPr>
        <w:t>2026年智能制造学院实验实训耗材及相关服务采购</w:t>
      </w:r>
    </w:p>
    <w:p>
      <w:pPr>
        <w:jc w:val="center"/>
        <w:rPr>
          <w:rFonts w:ascii="黑体" w:hAnsi="黑体" w:eastAsia="黑体" w:cs="Times New Roman"/>
          <w:sz w:val="36"/>
          <w:szCs w:val="36"/>
        </w:rPr>
      </w:pPr>
      <w:r>
        <w:rPr>
          <w:rFonts w:hint="eastAsia" w:ascii="黑体" w:hAnsi="黑体" w:eastAsia="黑体" w:cs="Times New Roman"/>
          <w:sz w:val="36"/>
          <w:szCs w:val="36"/>
        </w:rPr>
        <w:t>参数及要求</w:t>
      </w:r>
    </w:p>
    <w:tbl>
      <w:tblPr>
        <w:tblStyle w:val="34"/>
        <w:tblW w:w="10243" w:type="dxa"/>
        <w:jc w:val="center"/>
        <w:tblInd w:w="-94" w:type="dxa"/>
        <w:tblLayout w:type="fixed"/>
        <w:tblCellMar>
          <w:top w:w="0" w:type="dxa"/>
          <w:left w:w="108" w:type="dxa"/>
          <w:bottom w:w="0" w:type="dxa"/>
          <w:right w:w="108" w:type="dxa"/>
        </w:tblCellMar>
      </w:tblPr>
      <w:tblGrid>
        <w:gridCol w:w="650"/>
        <w:gridCol w:w="1162"/>
        <w:gridCol w:w="671"/>
        <w:gridCol w:w="675"/>
        <w:gridCol w:w="5022"/>
        <w:gridCol w:w="640"/>
        <w:gridCol w:w="700"/>
        <w:gridCol w:w="723"/>
      </w:tblGrid>
      <w:tr>
        <w:tblPrEx>
          <w:tblLayout w:type="fixed"/>
          <w:tblCellMar>
            <w:top w:w="0" w:type="dxa"/>
            <w:left w:w="108" w:type="dxa"/>
            <w:bottom w:w="0" w:type="dxa"/>
            <w:right w:w="108" w:type="dxa"/>
          </w:tblCellMar>
        </w:tblPrEx>
        <w:trPr>
          <w:trHeight w:val="854" w:hRule="atLeast"/>
          <w:jc w:val="center"/>
        </w:trPr>
        <w:tc>
          <w:tcPr>
            <w:tcW w:w="10243" w:type="dxa"/>
            <w:gridSpan w:val="8"/>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b/>
                <w:kern w:val="0"/>
                <w:sz w:val="28"/>
                <w:szCs w:val="28"/>
              </w:rPr>
              <w:t>技术参</w:t>
            </w:r>
            <w:r>
              <w:rPr>
                <w:rFonts w:hint="eastAsia" w:ascii="宋体" w:hAnsi="宋体" w:eastAsia="宋体" w:cs="宋体"/>
                <w:b/>
                <w:kern w:val="0"/>
                <w:sz w:val="28"/>
                <w:szCs w:val="28"/>
                <w:lang w:eastAsia="zh-CN"/>
              </w:rPr>
              <w:t>数</w:t>
            </w:r>
            <w:r>
              <w:rPr>
                <w:rFonts w:hint="eastAsia" w:ascii="宋体" w:hAnsi="宋体" w:eastAsia="宋体" w:cs="宋体"/>
                <w:b/>
                <w:kern w:val="0"/>
                <w:sz w:val="28"/>
                <w:szCs w:val="28"/>
              </w:rPr>
              <w:t>要求</w:t>
            </w:r>
          </w:p>
        </w:tc>
      </w:tr>
      <w:tr>
        <w:tblPrEx>
          <w:tblLayout w:type="fixed"/>
          <w:tblCellMar>
            <w:top w:w="0" w:type="dxa"/>
            <w:left w:w="108" w:type="dxa"/>
            <w:bottom w:w="0" w:type="dxa"/>
            <w:right w:w="108" w:type="dxa"/>
          </w:tblCellMar>
        </w:tblPrEx>
        <w:trPr>
          <w:trHeight w:val="53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序号</w:t>
            </w:r>
          </w:p>
        </w:tc>
        <w:tc>
          <w:tcPr>
            <w:tcW w:w="11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品名</w:t>
            </w:r>
          </w:p>
        </w:tc>
        <w:tc>
          <w:tcPr>
            <w:tcW w:w="6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数量</w:t>
            </w:r>
          </w:p>
        </w:tc>
        <w:tc>
          <w:tcPr>
            <w:tcW w:w="6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单位</w:t>
            </w:r>
          </w:p>
        </w:tc>
        <w:tc>
          <w:tcPr>
            <w:tcW w:w="502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技术要求</w:t>
            </w:r>
          </w:p>
        </w:tc>
        <w:tc>
          <w:tcPr>
            <w:tcW w:w="6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单价</w:t>
            </w:r>
          </w:p>
        </w:tc>
        <w:tc>
          <w:tcPr>
            <w:tcW w:w="7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总价</w:t>
            </w: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宋体" w:hAnsi="宋体" w:eastAsia="宋体" w:cs="宋体"/>
                <w:kern w:val="0"/>
                <w:szCs w:val="21"/>
                <w:lang w:eastAsia="zh-CN"/>
              </w:rPr>
            </w:pPr>
            <w:r>
              <w:rPr>
                <w:rFonts w:hint="eastAsia" w:ascii="宋体" w:hAnsi="宋体" w:eastAsia="宋体" w:cs="宋体"/>
                <w:kern w:val="0"/>
                <w:szCs w:val="21"/>
                <w:lang w:eastAsia="zh-CN"/>
              </w:rPr>
              <w:t>备注</w:t>
            </w:r>
          </w:p>
        </w:tc>
      </w:tr>
      <w:tr>
        <w:tblPrEx>
          <w:tblLayout w:type="fixed"/>
          <w:tblCellMar>
            <w:top w:w="0" w:type="dxa"/>
            <w:left w:w="108" w:type="dxa"/>
            <w:bottom w:w="0" w:type="dxa"/>
            <w:right w:w="108" w:type="dxa"/>
          </w:tblCellMar>
        </w:tblPrEx>
        <w:trPr>
          <w:trHeight w:val="49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铝芯线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圈</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国标 BLV2.5平方黄，100米/圈</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72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铝芯线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圈</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国标 BLV2.5平方红，100米/圈</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铝芯线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圈</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国标 BLV2.5平方黑，100米/圈</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2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PLC编程电缆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USB转PPI s7-200CN专用 免驱动 支持PLC上传下载（设备专用线缆）</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2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PLC转以太网TCP线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2P桥接 支持S7-300/200/200smart 支持国产昆仑通泰、台达、步科等型号PLC</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2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接线端子台</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台</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10进10出 直插式 面板导轨安装两用</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2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接线端子台</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台</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2组1进6出 直插式 面板导轨安装两用</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2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直流接触器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直流DC24V控制交流接触器 额定电流9A 两常开两常闭</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尼龙扎带</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7</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高强度尼龙扎带塑料捆束绑札轧带收拉紧器扎线固定不锈钢黑色 白色4*200mm宽2.7 500根</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3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光纤传感器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光纤放大器远近距离漫反射对射高速光纤传感器 配放大器 配M4金属反射光纤</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电感式接近开关传感器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M30 埋入式感应10mm NPN常开</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红外线感应光电开关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接近漫反射式传感器NPN常开三线M18 工作电压6-36v 检测距离10-30cm可调</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7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I/O扩展模块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支持S7-200CN 晶体管输出 16路入16出</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换向阀组气阀开关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带线二位五通电磁阀  双位置单电控 4V-210-08 直流24V 带插8mm的接头消声器 插8mm气管接头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视觉识别模块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1.6GHZ AI视觉处理帧率85FPS 算力6TOPS 带3.5寸触摸屏</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电机驱动芯片</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片</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单通道H桥电机驱动器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宽电压供电，5.5V-36V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低RDS(ON)电阻，200mΩ（HS+LS）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6A峰值驱动输出，4A连续驱动输出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PWM控制接口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支持低功耗休眠模式。贴片ESOP8</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电笔</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电工测断线漏电智能数显感应电笔新款专用验试 3-500V电压可测 线性量程 感应探测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香蕉叠插线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大头转小头4mm转3mm香蕉叠插线3转4号高压测试线安全护套插头导线  长50CM 红色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香蕉叠插线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大头转小头4mm转3mm香蕉叠插线3转4号高压测试线安全护套插头导线  长50CM 黑色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香蕉叠插线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大头转小头4mm转3mm香蕉叠插线3转4号高压测试线安全护套插头导线  长50CM 黄色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香蕉插头转鳄鱼夹带线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4mm 1.6平方1米 红色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107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香蕉插头转鳄鱼夹带线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4mm 1.6平方1米 黑色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香蕉叠插线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4MM香蕉插头硅胶线 安全护套导线可叠插测试线 长50CM 红色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75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香蕉叠插线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4MM香蕉插头硅胶线 安全护套导线可叠插测试线 长50CM 黑色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9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时间继电器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DC24V 设定方式：电位器 工作方式：通电延时 0.05S-3min 底座和导轨一体</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MCU屏</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4.3寸TFT LCD模块电容触摸液晶显示屏  带FPC排线</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零件收纳盒</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1、4合一拼接 48格小号橙色抽屉零件箱。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2、材质：采用PE材质一次注塑成型。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3、PE原材料需满足以下技术要求：依据GB/T 1633-2000检测标准，检测项目至少包含“维卡软化温度”，检测结论“符合”。依据GB/T 1843-2008检测标准，检测项目至少包含“悬臂梁缺口冲击强度”，检测结论“符合”。依据GB/T 9345.1-2008检测标准，检测项目至少包含“灰分”，检测结论“符合”。依据GB/T 2411-2008检测标准，检测项目至少包含“邵氏硬度”，检测结论“符合”。依据GB/T 3682.1-2018检测标准，检测项目至少包含“熔体质量流动速率”，检测结论“符合”。依据GB/T 1043.1-2008检测标准，检测项目至少包含“简支梁缺口冲击”，检测结论“符合”。响应文件中提供第三方检测机构出具的PE原材料检测报告复印件加盖供应商公章，且报告中须反应达到或优于此项技术指标。</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零件收纳盒</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1、4合一拼接 32格大号橙色抽屉零件箱。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2、材质：采用PE材质一次注塑成型。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3、PE原材料需满足以下技术要求：依据GB/T 1633-2000检测标准，检测项目至少包含“维卡软化温度”，检测结论“符合”。依据GB/T 1843-2008检测标准，检测项目至少包含“悬臂梁缺口冲击强度”，检测结论“符合”。依据GB/T 9345.1-2008检测标准，检测项目至少包含“灰分”，检测结论“符合”。依据GB/T 2411-2008检测标准，检测项目至少包含“邵氏硬度”，检测结论“符合”。依据GB/T 3682.1-2018检测标准，检测项目至少包含“熔体质量流动速率”，检测结论“符合”。依据GB/T 1043.1-2008检测标准，检测项目至少包含“简支梁缺口冲击”，检测结论“符合”。</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单双电源模块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单电源转双电源 </w:t>
            </w:r>
            <w:r>
              <w:rPr>
                <w:rFonts w:ascii="Calibri" w:hAnsi="Calibri" w:eastAsia="宋体" w:cs="Calibri"/>
                <w:color w:val="00000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5V</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可调直流稳压电源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0-30V 0-10A 300W 三位数显（粗调细调）</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数字号码牌</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1~60号，PVC,亚克,10*10mm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数字号码牌</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1~20号，PVC,亚克，10*10mm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2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气管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气动PU气管软管空压机气泵高压管 200米4*2.5mm耐压12kg橙色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35"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伺服驱动器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国产伺服驱动器能支持指令方式：Profinet 总线、脉冲（可选） 总线 额定功率：0.4kW，输入电压：单相 / 三相 AC 220V ±10%，50/60Hz，控制模式：位置控制、速度控制、转矩控制 。配伺服电机低惯量伺服电机，三相 AC 220V，低惯量（H4），适合高频响、快速启停，400W 不带刹车，含动力线和编码线以及电池盒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5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profinet远程io模块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2路脉冲控制和数字量16入4出</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36</w:t>
            </w:r>
          </w:p>
        </w:tc>
        <w:tc>
          <w:tcPr>
            <w:tcW w:w="1162" w:type="dxa"/>
            <w:tcBorders>
              <w:top w:val="single" w:color="auto" w:sz="6" w:space="0"/>
              <w:left w:val="single" w:color="auto" w:sz="6" w:space="0"/>
              <w:bottom w:val="nil"/>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2"/>
                <w:szCs w:val="22"/>
                <w:u w:val="none"/>
                <w:lang w:val="en-US" w:eastAsia="zh-CN" w:bidi="ar"/>
              </w:rPr>
              <w:t>款紧凑型 PLC，具备 14 点 24V DC 数字输入、10 点晶体管（DC）数字输出（0.5A）、2 路模拟量输入（0–10V DC）、2 路模拟量输出（0–20mA DC），供电为 20.4–28.8V DC，集成 2个PROFINET 端口，工作内存 200 KB，装载储存器4MB，保持性储存器14kb,直流 24V 供电 / 直流（晶体管）输入 / 直流（晶体管）输出 — ‌不支持继电器类大负载，但可实现高速脉冲输出（PWM/HSC）‌</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37</w:t>
            </w:r>
          </w:p>
        </w:tc>
        <w:tc>
          <w:tcPr>
            <w:tcW w:w="1162" w:type="dxa"/>
            <w:tcBorders>
              <w:top w:val="nil"/>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模拟量输出模块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2"/>
                <w:szCs w:val="22"/>
                <w:u w:val="none"/>
                <w:lang w:val="en-US" w:eastAsia="zh-CN" w:bidi="ar"/>
              </w:rPr>
              <w:t>4路模拟量输出，电压/电流可选，供电：DC24V（20.4～28.8 V），24V 典型电流：45 mA，背板总线 5V 典型电流：80 mA，典型功耗：1.5 W，电压输出范围：±10 V DC，分辨率：14 位（含符号）最小负载电阻：≥1 k</w:t>
            </w:r>
            <w:r>
              <w:rPr>
                <w:rFonts w:hint="default" w:ascii="Calibri" w:hAnsi="Calibri" w:eastAsia="宋体" w:cs="Calibri"/>
                <w:i w:val="0"/>
                <w:iCs w:val="0"/>
                <w:color w:val="000000"/>
                <w:kern w:val="0"/>
                <w:sz w:val="22"/>
                <w:szCs w:val="22"/>
                <w:u w:val="none"/>
                <w:lang w:val="en-US" w:eastAsia="zh-CN" w:bidi="ar"/>
              </w:rPr>
              <w:t>Ω</w:t>
            </w:r>
            <w:r>
              <w:rPr>
                <w:rFonts w:hint="eastAsia" w:ascii="宋体" w:hAnsi="宋体" w:eastAsia="宋体" w:cs="宋体"/>
                <w:i w:val="0"/>
                <w:iCs w:val="0"/>
                <w:color w:val="000000"/>
                <w:kern w:val="0"/>
                <w:sz w:val="22"/>
                <w:szCs w:val="22"/>
                <w:u w:val="none"/>
                <w:lang w:val="en-US" w:eastAsia="zh-CN" w:bidi="ar"/>
              </w:rPr>
              <w:t xml:space="preserve">，电流输出，范围：0～20 mA、4～20 mA，分辨率：13 位，最大负载电阻：≤ 600 </w:t>
            </w:r>
            <w:r>
              <w:rPr>
                <w:rFonts w:hint="default" w:ascii="Calibri" w:hAnsi="Calibri" w:eastAsia="宋体" w:cs="Calibri"/>
                <w:i w:val="0"/>
                <w:iCs w:val="0"/>
                <w:color w:val="000000"/>
                <w:kern w:val="0"/>
                <w:sz w:val="22"/>
                <w:szCs w:val="22"/>
                <w:u w:val="none"/>
                <w:lang w:val="en-US" w:eastAsia="zh-CN" w:bidi="ar"/>
              </w:rPr>
              <w:t>Ω</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接线端子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 E1508插针式管型1.5mm 接线端子铜鼻针形，红色5包 黄色5包 黑色5包 蓝色5包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接线端子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欧式VE2510针型冷压端子 E2510插针式管型2.5mm 接线端子铜鼻针形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11"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多股软铜线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RV0.75平方 红色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多股软铜线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RV0.75平方 黑色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多股软铜线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RV0.75平方 绿色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螺丝家用套装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圆头十字螺丝螺母垫片机丝钉螺栓螺钉M3M4M5M6A套餐 24格24种规格900克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按钮开关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自复位按压式自锁启动急停旋钮带灯 LAY7-11D红色一开一闭自复位带灯按钮 24V 直径22mm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按钮开关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自复位按压式自锁启动急停旋钮带灯 LAY7-11D黄色一开一闭自复位带灯按钮 24V 直径22mm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按钮开关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自复位按压式自锁启动急停旋钮带灯 LAY7-11D绿色一开一闭自复位带灯按钮 24V 直径22mm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按钮开关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自复位按压式自锁启动急停旋钮带灯 LAY7-11D黄色一开一闭自复位带灯按钮 24V 直径22mm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PLC输入输出调试模块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PLC测试板 16通道输入输出调试模块 兼容NPN/PNP 按键板配杜邦线  升级款贴片双色LED</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RS485通讯线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RS485通讯线 9针镀镍公头【3:485+，8:485-】2米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PLC串口头9针</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B9免焊接头PLC串口头9针RS232/485公头母头9P接线端子COM口阻燃，卡扣免焊黑胶公头+（螺杆）【M9001】配尾套</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PLC串口头9针</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B9免焊接头PLC串口头9针RS232/485公头母头9P接线端子COM口阻燃，卡扣免焊黑胶母头+（螺杆）【M9002】配尾套</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可调直流稳压电源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0-30V 0-10A 300W 三位数显（粗调细调）编码器调节 </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丝杆升降机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台</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1T基本型 绿色 蓝色  蜗轮蜗杆螺杆螺母电动手摇小型减速机4联动平台 布局形式：同轴式，齿面硬度：软齿面，级数：1级</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毛刷</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8ˊ（寸）</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8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锯床锯条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350*32mm（正齿或交错齿）</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剧弓</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7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圆形板牙绞手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圆形板牙绞手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手用绞刀</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Φ10H7</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3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高度尺合金划线爪</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0-300mm（配成量或哈量）</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扁錾</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10mm刃口</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5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电胶布</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PVC</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90°可转位外圆刀片</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170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片</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普车刀片 T31605F（产品规格），钨钢，涂层黄色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9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45°机夹车刀配用刀片</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片</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  41605F（4刃）</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9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高强度麻花钻</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Φ12（含钴）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9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高强度麻花钻</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Φ9.8（含钴）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高强度麻花钻</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Φ8（含钴）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高强度麻花钻</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Φ10.3（含钴）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内六角无头螺钉</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kg</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M8</w:t>
            </w:r>
            <w:r>
              <w:rPr>
                <w:rFonts w:hint="eastAsia" w:ascii="宋体" w:hAnsi="宋体" w:eastAsia="宋体" w:cs="宋体"/>
                <w:color w:val="000000"/>
                <w:sz w:val="24"/>
                <w:szCs w:val="24"/>
                <w:u w:val="none"/>
                <w:lang w:val="en-US" w:eastAsia="zh-CN" w:bidi="ar"/>
              </w:rPr>
              <w:t>×12（平端）304不锈钢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梅花螺钉(全牙)</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kg</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12.9级、M5×12</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60度平底钨钢铣刀</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D16×D16×100L×4F</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61"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光电发声寻边器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柄径20mm（发光、发声）</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光电发声寻边器电池</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1.5V、8号 LR1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游标卡尺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0-150mm（成量或哈量）</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柔性钢锯条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箱</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≥300*12*0.6   24牙细齿  1000支/箱</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90°含钻直柄锪钻</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Φ18*10D三刃（含钻）</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粗平锉</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12寸（300mm）5把/盒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细平锉</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12寸（300mm）5把/盒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细方锉</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8寸（200mm）5把/盒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什锦锉</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直径4×长160    10件套（扁锉、方锉、三角锉、圆锉、半圆锉、菱形锉、刀形锉、单面三角锉、椭圆锉 、锥形圆锉）</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圆棒料</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Φ25×3000mm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圆棒料</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Φ30×3000mm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圆棒料</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9</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Φ45×3000mm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0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圆棒料</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Q235 Φ30×3000mm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梅花扳手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8-10mm开口双头，表面精抛镀铬</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梅花扳手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10-12mm开口双头，表面精抛镀铬</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呆扳手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8-10mm开口双头 表面精抛镀铬</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呆扳手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10-12mm开口双头 表面精抛镀铬</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呆扳手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9-11mm开口双头，表面精抛镀铬</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铜榔头</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防爆*紫铜（纯铜）八角锤3P(磅)/1.4kg  总长375mm，榔头直径40mm，榔头长度87mm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皮尺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工程测量桔色 【防滑款】纤维尺  50米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皮尺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工程测量桔色 【防滑款】纤维尺  100米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钢板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105*50*20mm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顶拔器（拉马）</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两爪拉马4寸/100mm（开口范围18-50mm)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顶拔器（拉马）</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两爪拉马6寸/150mm（开口范围20-85mm)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顶拔器（拉马）</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4寸，三爪拉马 加强拉脚不易断，最大开口直径100mm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顶拔器（拉马）</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6寸，三爪拉马 加强拉脚不易断，最大开口直径150mm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环保焊锡膏 </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松香 助焊剂 焊接辅料   100g/盒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急停按钮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LA42J-21/R</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行程开关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JLXK1-311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行程开关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JW2A-11H/L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润滑油</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机械专用、抗磨液压油68号 18L/桶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切削液</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切削液 兑水绿色，防锈、防臭，克特1538，18L/桶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断路器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15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断路器NXBE-32A-1P</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不锈钢编织软管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304不锈钢编织高压管，4分内外丝连接软管，长2.5米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铝块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100*100*50mm，7075</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80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机器人快换装置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1、材质:本体为超硬铝制，装卸部为模具钢制。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2、可搬重量:0~20kg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3、适用于多关节机器人的快速交换夹具（设备配件：KS-01）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扎带</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全新尼龙，白色8*350mm(250根/包）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内六角扳手套装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09110/【平头】加长10件2mm-10mm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梅花内六角扳手套装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09715/【球状花型】加长9件T10mm-T50mm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家电工具套装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6"短柄活扳手*6"钢丝钳* 8oz羊角锤*螺丝批手柄*锤头塑料帽*25mm批头 一字:4、5、6 十字:PH1、PH2、PH3米字:PZ1、PZ2、PZ3六角:H4、H5、H6*塑盒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气动PU气管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米</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6*4mm白色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3D打印笔</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 中规中文，插电款；1.75mm线径，笔尖孔径0.7mm，颜色：蓝</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插线板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总控，孔位数(位)：8位，插孔数：28孔，线长：5M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透明工具盒</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16.3*12.7*6cm，材质：PP</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透明工具盒</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25*19*10cm，材质：PP</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收纳箱</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尺寸：52*38.5*32；材质：PP</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电烙铁套装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电烙铁*1；海绵*1，焊锡丝*1；烙铁头*5；烙铁架*1；松香*1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M2螺丝套装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共50颗：2*3、2*4、2*5、2*6、2*8、2*10、2*12、2*16、2*20、2*25（mm）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共200颗：2mm平垫、M2螺帽</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螺丝螺母垫片套装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M3*6(40个)M3*10(30个)M3*14(30个)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M3*20(30个)M4*10(20个)M4*20(10个)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M4*25(10个)M4*30(10个)M5*10(10个)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M5*20(10个)M5*30(5个)M5*40(5个)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M6*10(10个)M6*20(5个)  M6*30(5个)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M6*40(5个)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螺母规格：M3(55个)M4(50个)M5(50个)M6(25个)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垫片规格：M3(55个)M4(50个)M5(50个)M</w:t>
            </w:r>
            <w:r>
              <w:rPr>
                <w:rFonts w:hint="default" w:ascii="Times New Roman" w:hAnsi="Times New Roman" w:eastAsia="宋体" w:cs="Times New Roman"/>
                <w:i w:val="0"/>
                <w:iCs w:val="0"/>
                <w:color w:val="000000"/>
                <w:kern w:val="0"/>
                <w:sz w:val="24"/>
                <w:szCs w:val="24"/>
                <w:u w:val="none"/>
                <w:lang w:val="en-US" w:eastAsia="zh-CN" w:bidi="ar"/>
              </w:rPr>
              <w:t>⁶</w:t>
            </w:r>
            <w:r>
              <w:rPr>
                <w:rFonts w:hint="eastAsia" w:ascii="宋体" w:hAnsi="宋体" w:eastAsia="宋体" w:cs="宋体"/>
                <w:i w:val="0"/>
                <w:iCs w:val="0"/>
                <w:color w:val="000000"/>
                <w:kern w:val="0"/>
                <w:sz w:val="24"/>
                <w:szCs w:val="24"/>
                <w:u w:val="none"/>
                <w:lang w:val="en-US" w:eastAsia="zh-CN" w:bidi="ar"/>
              </w:rPr>
              <w:t>(50个)</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航模无人机组装套件</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马达*1；螺旋桨*6，电池盒*1；主体外壳*1；电线*1；主板*2，电池*1；空心杯电机*2；螺丝螺母螺栓套件*8；旋钮外壳*2</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数字舵机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PD-15S（送塑料配件），重量：15kg</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STM32舵机控制板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STM32核心板+多功能拓展版：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1.STM32核心板：主控芯片:STM32F103C6T6;模块尺寸:20*40mm;电源输入：4.5-5.5v；USB接口；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2.多功能拓展版:外形尺寸：70*49mm；孔位尺寸：63*42mm;总线、传感器、PWM舵机接口：6路；支持脱机运行</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小圆旋转云台</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尺寸：80*8062mm;重量：214.5g;旋转角度：270°；工作电压：5-8.4v；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包含配件：大圆环*2；小圆盘*2；大圆盘*1；金属轴承*1；金属主舵盘*1；螺丝铜柱包*1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电机套装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一套包含10个电机；130W微型电动马达；单个电机重量：13g</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电子线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线号：30AWG；线径规格：7/0.10TS； 15m/卷；颜色：红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电子线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线号：30AWG；线径规格：7/0.10TS； 15m/卷；颜色：黑；</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开关套装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一套包含10个电源开关，型号：KCD1-101（2档）；带线：15cm;0.75平方纯铜线；颜色：红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502胶水</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净含量：15g;</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TF储存卡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容量：8G；读速130MB/s</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读卡器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C286，接口：USB2.0；支持TF卡读取</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绝缘胶带</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长度：9M；产品颜色：黑；电压等级：≤600V,温度等级：0°-80℃</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3D打印灯配件</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光源：LED灯珠；颜色：常规三色(白色+暖光+中性光);功率：4W；调光调色定时；USB线：1.5m；直径：59mm;厚度：8mm;开关方式：线控</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斜口钳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开口6.5mm；手柄材质：PVC；重量：56g;刃口材质：65#高碳钢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1.75mm，颜色：黄色（无料盘）拓竹（设备匹配耗材）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1.75mm，颜色：红色（无料盘）拓竹（设备匹配耗材）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1.75mm，颜色：绿色（无料盘）拓竹（设备匹配耗材）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1.75mm，颜色：蓝色（无料盘）拓竹（设备匹配耗材）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1.75mm，颜色：灰色（无料盘）拓竹（设备匹配耗材）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1.76mm，颜色：白色（无料盘）拓竹（设备匹配耗材）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3D打印机热床固体胶水棒</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包装重量: 50g，特性：水溶性</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防护生化服套装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18"/>
                <w:szCs w:val="18"/>
                <w:u w:val="none"/>
                <w:lang w:val="en-US" w:eastAsia="zh-CN" w:bidi="ar"/>
              </w:rPr>
              <w:t>【升级款】防护服+防毒面罩+护目镜+手套+防护鞋套，L型号15套，XL型号5套</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一次性丁腈手套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耐用、纯丁腈、黑色、每盒50只</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钢板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200*200*30mm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钢板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150*150*20mm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钢板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40*40*60mm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拉伸试样</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Q235低碳钢标准拉伸试样 D=9mm，d=6mm，GBT228.1-2021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正压式空气呼吸器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外形尺寸：700*300*450  正压式呼吸器钢瓶(含箱)</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长管呼吸器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10米单人电动送风</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透明收纳箱</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长64宽44高40cm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透明收纳箱</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长35宽23高17.5cm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玻璃烧杯</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500ml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玻璃烧杯</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250ml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玻璃烧杯</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100ml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工业拉伸保鲜膜</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宽30cm【150mm/卷】2丝小箱【塑料管芯】</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玻璃胶头滴管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支</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100mm胶头滴管 10支</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156</w:t>
            </w:r>
          </w:p>
        </w:tc>
        <w:tc>
          <w:tcPr>
            <w:tcW w:w="1162"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c>
          <w:tcPr>
            <w:tcW w:w="671"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c>
          <w:tcPr>
            <w:tcW w:w="675"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c>
          <w:tcPr>
            <w:tcW w:w="5022"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c>
          <w:tcPr>
            <w:tcW w:w="640"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手动切割锯</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锰钢锯，锯-410mm，三面磨齿</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真空泵</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真空泵1L，真空导入导流VIP工艺耗材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树脂收集器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不锈钢树脂收集器（带真空表），缓冲罐负压罐密封罐，真空导入VIP工艺设备</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抽真空塑料管树脂导流管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米</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管外8mm内径5mm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抽真空工艺注胶座止回阀</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1个注胶座1个止回阀</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碳纤维玻璃钢复合材料真空导气管导流管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螺旋管6mm真空导入</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真空导入RTM工艺编织型导流网</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增加树脂流速，2平米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复合材料真空导流导入隔离脱模布</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1米*10米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真空导流预浸料工艺真空薄膜</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耐温160度以上</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复合材料真空工艺真空玻璃密封条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常温胶条</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无碱表面毡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30克玻璃纤维薄毡玻1平米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环氧胶衣模具胶衣树脂及配套固化剂</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500克树脂+150克固化剂</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无碱玻璃纤维毡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1平米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玻璃钢翻模填补缝隙腻子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70克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环氧树脂及配套固化剂</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3公斤树脂加750克固化剂</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玻璃钢专用毛刷</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2寸（毛长4cm）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RTM/FRP真空袋膜</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米</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2平米（宽2米，长1米）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一次性手套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带</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耐用型【食品用】白色丁腈手套【1袋共100只】</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电磨机小型手持打磨机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【精美盒装】五档调速数显款（旗舰高配）</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塑料模具PVA脱模剂</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PVA水性脱模剂 （样品100-200克）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钢化玻璃</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片</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1000*700*8mm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玄武岩纤维布</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普通款330g/㎡ 总长一米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剪刀</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长度≥138mm，不锈钢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火花塞</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支</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2021-2025款吉利星瑞2.0T 铂铱金（汽车配件，）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汽车测电笔</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轻松查找故障】大号电笔+数显【3v-48v】</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排气背压表+真空压力表二合一</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管子3根，接头8个，电子正负压力表1个（ 标配）</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气缸压力表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包含：PE塑料盒、气缸压力表、锥形接头、延长管、气管、转换接头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内窥镜</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NTS500，直径7.66mm，1米长</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启动电源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磷酸铁锂电池，12V，15001MAh(含)-20000MAh(含)，3C认证</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燃油压力表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0-140psi 90mm双刻度表头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强光手电</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ABS+铝合金、射程200-500米、最大功率9W、长12.1≥cm、重≥99g、防护等级IP68</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方向盘座椅防尘套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黑色 座椅套 方向盘 档把 脚垫 （非一次性）</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玻璃水</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0度2L疏水型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胎纹深度尺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ABS、金属探针</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汽车用机油</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0W-20（全合成），极护   4L/桶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汽车用机油</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0W-40（全合成），极护   4L/桶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变速箱油</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DCT-湿式双离合（7速变速箱油每瓶1L）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防冻液</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0度绿色水箱宝9kg10升 </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车用蓄电池</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70Ah  6-QW-70（600）-L 支持启停 12V电压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冰点检测仪</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糖度范围0-32%、ATC温度补偿、铝合金机芯、长170mm、宽27mm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刹车片</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吉利星瑞2020-2025 2.0T（汽车配件）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空调滤芯+空气滤芯</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吉利星瑞2020-2025 2.0T（汽车配件）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平衡块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3M胶 5g装 50条/盒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绝缘手套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试验电压12kv 使用电压3kv 适用380V工厂用电</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汽车防护膜</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500mm宽，1000mm长（TPU材质）</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轮胎数显胎压表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0.35-7Bar胎压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低碳钢板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1、规格：≥1mm厚，2000mm长，1000mm宽。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2、冷轧钢板原材料需满足以下技术要求：（1）、冷轧钢板通过依据GB/T1740-2007《漆膜耐湿热测定法》测试，检测项目包含耐湿热性，结果至少10h无异常。（2）、冷轧钢板通过依据GB/T230.1-2018《金属材料 洛氏硬度试验 第1部分:试验方法》检测，洛氏硬度(HRA)检测结果不小于34。响应文件中提供第三方检测机构出具的冷轧钢板原材料检测报告复印件加盖供应商公章，且报告中须反应达到或优于以上（1）～（2）项技术指标。</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调漆秤</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台</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LCD调漆秤。具备过载保护，秤面宽度≥20cm，量程1千克。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白色水性漆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1"/>
                <w:szCs w:val="21"/>
                <w:u w:val="none"/>
                <w:lang w:val="en-US" w:eastAsia="zh-CN" w:bidi="ar"/>
              </w:rPr>
              <w:t>由树脂、有机溶剂、颜料、水组成。可溶于水，闪点：＞70℃（闭杯），voc含量：＜420g/L。</w:t>
            </w:r>
            <w:r>
              <w:rPr>
                <w:rFonts w:ascii="仿宋" w:hAnsi="仿宋" w:eastAsia="仿宋" w:cs="仿宋"/>
                <w:i w:val="0"/>
                <w:iCs w:val="0"/>
                <w:color w:val="000000"/>
                <w:kern w:val="0"/>
                <w:sz w:val="24"/>
                <w:szCs w:val="24"/>
                <w:u w:val="none"/>
                <w:lang w:val="en-US" w:eastAsia="zh-CN" w:bidi="ar"/>
              </w:rPr>
              <w:t>颜色：白色。容量：1L。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黑色水性漆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1"/>
                <w:szCs w:val="21"/>
                <w:u w:val="none"/>
                <w:lang w:val="en-US" w:eastAsia="zh-CN" w:bidi="ar"/>
              </w:rPr>
              <w:t>由树脂、有机溶剂、颜料、水组成。可溶于水，闪点：＞</w:t>
            </w:r>
            <w:r>
              <w:rPr>
                <w:rFonts w:hint="default" w:ascii="Times New Roman" w:hAnsi="Times New Roman" w:eastAsia="宋体" w:cs="Times New Roman"/>
                <w:color w:val="000000"/>
                <w:szCs w:val="21"/>
                <w:u w:val="none"/>
                <w:lang w:val="en-US" w:eastAsia="zh-CN" w:bidi="ar"/>
              </w:rPr>
              <w:t>70</w:t>
            </w:r>
            <w:r>
              <w:rPr>
                <w:rFonts w:hint="eastAsia" w:ascii="宋体" w:hAnsi="宋体" w:eastAsia="宋体" w:cs="宋体"/>
                <w:i w:val="0"/>
                <w:iCs w:val="0"/>
                <w:color w:val="000000"/>
                <w:kern w:val="0"/>
                <w:sz w:val="21"/>
                <w:szCs w:val="21"/>
                <w:u w:val="none"/>
                <w:lang w:val="en-US" w:eastAsia="zh-CN" w:bidi="ar"/>
              </w:rPr>
              <w:t>℃（闭杯），</w:t>
            </w:r>
            <w:r>
              <w:rPr>
                <w:rFonts w:hint="default" w:ascii="Times New Roman" w:hAnsi="Times New Roman" w:eastAsia="宋体" w:cs="Times New Roman"/>
                <w:color w:val="000000"/>
                <w:szCs w:val="21"/>
                <w:u w:val="none"/>
                <w:lang w:val="en-US" w:eastAsia="zh-CN" w:bidi="ar"/>
              </w:rPr>
              <w:t>voc</w:t>
            </w:r>
            <w:r>
              <w:rPr>
                <w:rFonts w:hint="eastAsia" w:ascii="宋体" w:hAnsi="宋体" w:eastAsia="宋体" w:cs="宋体"/>
                <w:i w:val="0"/>
                <w:iCs w:val="0"/>
                <w:color w:val="000000"/>
                <w:kern w:val="0"/>
                <w:sz w:val="21"/>
                <w:szCs w:val="21"/>
                <w:u w:val="none"/>
                <w:lang w:val="en-US" w:eastAsia="zh-CN" w:bidi="ar"/>
              </w:rPr>
              <w:t>含量：＜</w:t>
            </w:r>
            <w:r>
              <w:rPr>
                <w:rFonts w:hint="default" w:ascii="Times New Roman" w:hAnsi="Times New Roman" w:eastAsia="宋体" w:cs="Times New Roman"/>
                <w:color w:val="000000"/>
                <w:szCs w:val="21"/>
                <w:u w:val="none"/>
                <w:lang w:val="en-US" w:eastAsia="zh-CN" w:bidi="ar"/>
              </w:rPr>
              <w:t>420g/L</w:t>
            </w:r>
            <w:r>
              <w:rPr>
                <w:rFonts w:hint="eastAsia" w:ascii="宋体" w:hAnsi="宋体" w:eastAsia="宋体" w:cs="宋体"/>
                <w:i w:val="0"/>
                <w:iCs w:val="0"/>
                <w:color w:val="000000"/>
                <w:kern w:val="0"/>
                <w:sz w:val="21"/>
                <w:szCs w:val="21"/>
                <w:u w:val="none"/>
                <w:lang w:val="en-US" w:eastAsia="zh-CN" w:bidi="ar"/>
              </w:rPr>
              <w:t>。</w:t>
            </w:r>
            <w:r>
              <w:rPr>
                <w:rFonts w:ascii="仿宋" w:hAnsi="仿宋" w:eastAsia="仿宋" w:cs="仿宋"/>
                <w:i w:val="0"/>
                <w:iCs w:val="0"/>
                <w:color w:val="000000"/>
                <w:kern w:val="0"/>
                <w:sz w:val="24"/>
                <w:szCs w:val="24"/>
                <w:u w:val="none"/>
                <w:lang w:val="en-US" w:eastAsia="zh-CN" w:bidi="ar"/>
              </w:rPr>
              <w:t>颜色：黑色</w:t>
            </w:r>
            <w:r>
              <w:rPr>
                <w:rFonts w:hint="eastAsia" w:ascii="仿宋" w:hAnsi="仿宋" w:eastAsia="仿宋" w:cs="仿宋"/>
                <w:color w:val="000000"/>
                <w:szCs w:val="21"/>
                <w:u w:val="none"/>
                <w:lang w:val="en-US" w:eastAsia="zh-CN" w:bidi="ar"/>
              </w:rPr>
              <w:t>。容量：</w:t>
            </w:r>
            <w:r>
              <w:rPr>
                <w:rFonts w:ascii="仿宋" w:hAnsi="仿宋" w:eastAsia="仿宋" w:cs="仿宋"/>
                <w:i w:val="0"/>
                <w:iCs w:val="0"/>
                <w:color w:val="000000"/>
                <w:kern w:val="0"/>
                <w:sz w:val="24"/>
                <w:szCs w:val="24"/>
                <w:u w:val="none"/>
                <w:lang w:val="en-US" w:eastAsia="zh-CN" w:bidi="ar"/>
              </w:rPr>
              <w:t>1L</w:t>
            </w:r>
            <w:r>
              <w:rPr>
                <w:rFonts w:hint="eastAsia" w:ascii="仿宋" w:hAnsi="仿宋" w:eastAsia="仿宋" w:cs="仿宋"/>
                <w:color w:val="000000"/>
                <w:szCs w:val="21"/>
                <w:u w:val="none"/>
                <w:lang w:val="en-US" w:eastAsia="zh-CN" w:bidi="ar"/>
              </w:rPr>
              <w:t>。</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紫色水性漆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1"/>
                <w:szCs w:val="21"/>
                <w:u w:val="none"/>
                <w:lang w:val="en-US" w:eastAsia="zh-CN" w:bidi="ar"/>
              </w:rPr>
              <w:t>由树脂、有机溶剂、颜料、水组成。可溶于水，闪点：＞</w:t>
            </w:r>
            <w:r>
              <w:rPr>
                <w:rFonts w:hint="default" w:ascii="Times New Roman" w:hAnsi="Times New Roman" w:eastAsia="宋体" w:cs="Times New Roman"/>
                <w:color w:val="000000"/>
                <w:szCs w:val="21"/>
                <w:u w:val="none"/>
                <w:lang w:val="en-US" w:eastAsia="zh-CN" w:bidi="ar"/>
              </w:rPr>
              <w:t>70</w:t>
            </w:r>
            <w:r>
              <w:rPr>
                <w:rFonts w:hint="eastAsia" w:ascii="宋体" w:hAnsi="宋体" w:eastAsia="宋体" w:cs="宋体"/>
                <w:i w:val="0"/>
                <w:iCs w:val="0"/>
                <w:color w:val="000000"/>
                <w:kern w:val="0"/>
                <w:sz w:val="21"/>
                <w:szCs w:val="21"/>
                <w:u w:val="none"/>
                <w:lang w:val="en-US" w:eastAsia="zh-CN" w:bidi="ar"/>
              </w:rPr>
              <w:t>℃（闭杯），</w:t>
            </w:r>
            <w:r>
              <w:rPr>
                <w:rFonts w:hint="default" w:ascii="Times New Roman" w:hAnsi="Times New Roman" w:eastAsia="宋体" w:cs="Times New Roman"/>
                <w:color w:val="000000"/>
                <w:szCs w:val="21"/>
                <w:u w:val="none"/>
                <w:lang w:val="en-US" w:eastAsia="zh-CN" w:bidi="ar"/>
              </w:rPr>
              <w:t>voc</w:t>
            </w:r>
            <w:r>
              <w:rPr>
                <w:rFonts w:hint="eastAsia" w:ascii="宋体" w:hAnsi="宋体" w:eastAsia="宋体" w:cs="宋体"/>
                <w:i w:val="0"/>
                <w:iCs w:val="0"/>
                <w:color w:val="000000"/>
                <w:kern w:val="0"/>
                <w:sz w:val="21"/>
                <w:szCs w:val="21"/>
                <w:u w:val="none"/>
                <w:lang w:val="en-US" w:eastAsia="zh-CN" w:bidi="ar"/>
              </w:rPr>
              <w:t>含量：＜</w:t>
            </w:r>
            <w:r>
              <w:rPr>
                <w:rFonts w:hint="default" w:ascii="Times New Roman" w:hAnsi="Times New Roman" w:eastAsia="宋体" w:cs="Times New Roman"/>
                <w:color w:val="000000"/>
                <w:szCs w:val="21"/>
                <w:u w:val="none"/>
                <w:lang w:val="en-US" w:eastAsia="zh-CN" w:bidi="ar"/>
              </w:rPr>
              <w:t>420g/L</w:t>
            </w:r>
            <w:r>
              <w:rPr>
                <w:rFonts w:hint="eastAsia" w:ascii="宋体" w:hAnsi="宋体" w:eastAsia="宋体" w:cs="宋体"/>
                <w:i w:val="0"/>
                <w:iCs w:val="0"/>
                <w:color w:val="000000"/>
                <w:kern w:val="0"/>
                <w:sz w:val="21"/>
                <w:szCs w:val="21"/>
                <w:u w:val="none"/>
                <w:lang w:val="en-US" w:eastAsia="zh-CN" w:bidi="ar"/>
              </w:rPr>
              <w:t>。</w:t>
            </w:r>
            <w:r>
              <w:rPr>
                <w:rFonts w:ascii="仿宋" w:hAnsi="仿宋" w:eastAsia="仿宋" w:cs="仿宋"/>
                <w:i w:val="0"/>
                <w:iCs w:val="0"/>
                <w:color w:val="000000"/>
                <w:kern w:val="0"/>
                <w:sz w:val="24"/>
                <w:szCs w:val="24"/>
                <w:u w:val="none"/>
                <w:lang w:val="en-US" w:eastAsia="zh-CN" w:bidi="ar"/>
              </w:rPr>
              <w:t>颜色：紫色</w:t>
            </w:r>
            <w:r>
              <w:rPr>
                <w:rFonts w:hint="eastAsia" w:ascii="仿宋" w:hAnsi="仿宋" w:eastAsia="仿宋" w:cs="仿宋"/>
                <w:color w:val="000000"/>
                <w:szCs w:val="21"/>
                <w:u w:val="none"/>
                <w:lang w:val="en-US" w:eastAsia="zh-CN" w:bidi="ar"/>
              </w:rPr>
              <w:t>。容量：</w:t>
            </w:r>
            <w:r>
              <w:rPr>
                <w:rFonts w:ascii="仿宋" w:hAnsi="仿宋" w:eastAsia="仿宋" w:cs="仿宋"/>
                <w:i w:val="0"/>
                <w:iCs w:val="0"/>
                <w:color w:val="000000"/>
                <w:kern w:val="0"/>
                <w:sz w:val="24"/>
                <w:szCs w:val="24"/>
                <w:u w:val="none"/>
                <w:lang w:val="en-US" w:eastAsia="zh-CN" w:bidi="ar"/>
              </w:rPr>
              <w:t>1L</w:t>
            </w:r>
            <w:r>
              <w:rPr>
                <w:rFonts w:hint="eastAsia" w:ascii="仿宋" w:hAnsi="仿宋" w:eastAsia="仿宋" w:cs="仿宋"/>
                <w:color w:val="000000"/>
                <w:szCs w:val="21"/>
                <w:u w:val="none"/>
                <w:lang w:val="en-US" w:eastAsia="zh-CN" w:bidi="ar"/>
              </w:rPr>
              <w:t>。</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31"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蓝色水性漆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1"/>
                <w:szCs w:val="21"/>
                <w:u w:val="none"/>
                <w:lang w:val="en-US" w:eastAsia="zh-CN" w:bidi="ar"/>
              </w:rPr>
              <w:t>由树脂、有机溶剂、颜料、水组成。可溶于水，闪点：＞</w:t>
            </w:r>
            <w:r>
              <w:rPr>
                <w:rFonts w:hint="default" w:ascii="Times New Roman" w:hAnsi="Times New Roman" w:eastAsia="宋体" w:cs="Times New Roman"/>
                <w:color w:val="000000"/>
                <w:szCs w:val="21"/>
                <w:u w:val="none"/>
                <w:lang w:val="en-US" w:eastAsia="zh-CN" w:bidi="ar"/>
              </w:rPr>
              <w:t>70</w:t>
            </w:r>
            <w:r>
              <w:rPr>
                <w:rFonts w:hint="eastAsia" w:ascii="宋体" w:hAnsi="宋体" w:eastAsia="宋体" w:cs="宋体"/>
                <w:i w:val="0"/>
                <w:iCs w:val="0"/>
                <w:color w:val="000000"/>
                <w:kern w:val="0"/>
                <w:sz w:val="21"/>
                <w:szCs w:val="21"/>
                <w:u w:val="none"/>
                <w:lang w:val="en-US" w:eastAsia="zh-CN" w:bidi="ar"/>
              </w:rPr>
              <w:t>℃（闭杯），</w:t>
            </w:r>
            <w:r>
              <w:rPr>
                <w:rFonts w:hint="default" w:ascii="Times New Roman" w:hAnsi="Times New Roman" w:eastAsia="宋体" w:cs="Times New Roman"/>
                <w:color w:val="000000"/>
                <w:szCs w:val="21"/>
                <w:u w:val="none"/>
                <w:lang w:val="en-US" w:eastAsia="zh-CN" w:bidi="ar"/>
              </w:rPr>
              <w:t>voc</w:t>
            </w:r>
            <w:r>
              <w:rPr>
                <w:rFonts w:hint="eastAsia" w:ascii="宋体" w:hAnsi="宋体" w:eastAsia="宋体" w:cs="宋体"/>
                <w:i w:val="0"/>
                <w:iCs w:val="0"/>
                <w:color w:val="000000"/>
                <w:kern w:val="0"/>
                <w:sz w:val="21"/>
                <w:szCs w:val="21"/>
                <w:u w:val="none"/>
                <w:lang w:val="en-US" w:eastAsia="zh-CN" w:bidi="ar"/>
              </w:rPr>
              <w:t>含量：＜</w:t>
            </w:r>
            <w:r>
              <w:rPr>
                <w:rFonts w:hint="default" w:ascii="Times New Roman" w:hAnsi="Times New Roman" w:eastAsia="宋体" w:cs="Times New Roman"/>
                <w:color w:val="000000"/>
                <w:szCs w:val="21"/>
                <w:u w:val="none"/>
                <w:lang w:val="en-US" w:eastAsia="zh-CN" w:bidi="ar"/>
              </w:rPr>
              <w:t>420g/L</w:t>
            </w:r>
            <w:r>
              <w:rPr>
                <w:rFonts w:hint="eastAsia" w:ascii="宋体" w:hAnsi="宋体" w:eastAsia="宋体" w:cs="宋体"/>
                <w:i w:val="0"/>
                <w:iCs w:val="0"/>
                <w:color w:val="000000"/>
                <w:kern w:val="0"/>
                <w:sz w:val="21"/>
                <w:szCs w:val="21"/>
                <w:u w:val="none"/>
                <w:lang w:val="en-US" w:eastAsia="zh-CN" w:bidi="ar"/>
              </w:rPr>
              <w:t>。</w:t>
            </w:r>
            <w:r>
              <w:rPr>
                <w:rFonts w:ascii="仿宋" w:hAnsi="仿宋" w:eastAsia="仿宋" w:cs="仿宋"/>
                <w:i w:val="0"/>
                <w:iCs w:val="0"/>
                <w:color w:val="000000"/>
                <w:kern w:val="0"/>
                <w:sz w:val="24"/>
                <w:szCs w:val="24"/>
                <w:u w:val="none"/>
                <w:lang w:val="en-US" w:eastAsia="zh-CN" w:bidi="ar"/>
              </w:rPr>
              <w:t>颜色：蓝色</w:t>
            </w:r>
            <w:r>
              <w:rPr>
                <w:rFonts w:hint="eastAsia" w:ascii="仿宋" w:hAnsi="仿宋" w:eastAsia="仿宋" w:cs="仿宋"/>
                <w:color w:val="000000"/>
                <w:szCs w:val="21"/>
                <w:u w:val="none"/>
                <w:lang w:val="en-US" w:eastAsia="zh-CN" w:bidi="ar"/>
              </w:rPr>
              <w:t>。容量：</w:t>
            </w:r>
            <w:r>
              <w:rPr>
                <w:rFonts w:ascii="仿宋" w:hAnsi="仿宋" w:eastAsia="仿宋" w:cs="仿宋"/>
                <w:i w:val="0"/>
                <w:iCs w:val="0"/>
                <w:color w:val="000000"/>
                <w:kern w:val="0"/>
                <w:sz w:val="24"/>
                <w:szCs w:val="24"/>
                <w:u w:val="none"/>
                <w:lang w:val="en-US" w:eastAsia="zh-CN" w:bidi="ar"/>
              </w:rPr>
              <w:t>1L</w:t>
            </w:r>
            <w:r>
              <w:rPr>
                <w:rFonts w:hint="eastAsia" w:ascii="仿宋" w:hAnsi="仿宋" w:eastAsia="仿宋" w:cs="仿宋"/>
                <w:color w:val="000000"/>
                <w:szCs w:val="21"/>
                <w:u w:val="none"/>
                <w:lang w:val="en-US" w:eastAsia="zh-CN" w:bidi="ar"/>
              </w:rPr>
              <w:t>。</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绿色水性漆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由树脂、有机溶剂、颜料、水组成。可溶于水，闪点：＞70℃（闭杯），voc含量：＜420g/L。颜色：绿色。容量：1L。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中黄色水性漆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由树脂、有机溶剂、颜料、水组成。可溶于水，闪点：＞70℃（闭杯），voc含量：＜420g/L。颜色：柠檬黄。容量：1L。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61"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透明棕色水性漆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由树脂、有机溶剂、颜料、水组成。可溶于水，闪点：＞70℃（闭杯），voc含量：＜420g/L。颜色：透明棕。容量：1L。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37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212</w:t>
            </w:r>
          </w:p>
        </w:tc>
        <w:tc>
          <w:tcPr>
            <w:tcW w:w="1162" w:type="dxa"/>
            <w:tcBorders>
              <w:top w:val="single" w:color="auto" w:sz="6" w:space="0"/>
              <w:left w:val="single" w:color="auto" w:sz="6" w:space="0"/>
              <w:bottom w:val="nil"/>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红色水性漆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由树脂、有机溶剂、颜料、水组成。可溶于水，闪点：＞70℃（闭杯），voc含量：＜420g/L。颜色：红色。容量：1L。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37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213</w:t>
            </w:r>
          </w:p>
        </w:tc>
        <w:tc>
          <w:tcPr>
            <w:tcW w:w="1162" w:type="dxa"/>
            <w:tcBorders>
              <w:top w:val="nil"/>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水性清漆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由树脂、有机溶剂、水组成。可溶于水，闪点：＞70℃（闭杯），voc含量：＜420g/L。颜色：透明。容量：2L。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37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214</w:t>
            </w:r>
          </w:p>
        </w:tc>
        <w:tc>
          <w:tcPr>
            <w:tcW w:w="1162" w:type="dxa"/>
            <w:tcBorders>
              <w:top w:val="single" w:color="auto" w:sz="6" w:space="0"/>
              <w:left w:val="single" w:color="auto" w:sz="6" w:space="0"/>
              <w:bottom w:val="nil"/>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水性清漆固化剂</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由树脂、有机溶剂、颜料、水组成。可溶于水，闪点：＞23°＜60°（闭杯）。容量：1L。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37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215</w:t>
            </w:r>
          </w:p>
        </w:tc>
        <w:tc>
          <w:tcPr>
            <w:tcW w:w="1162" w:type="dxa"/>
            <w:tcBorders>
              <w:top w:val="nil"/>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水性清漆稀释剂</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成分：有机溶剂，容量：2L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4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干磨砂纸80目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5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干磨砂纸120目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干磨砂纸240目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干磨砂纸320目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干磨砂纸400目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干磨砂纸600目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干磨砂纸800目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干磨砂纸1000目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溶剂手套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100只一盒 喷漆专用，加厚，高弹性、耐稀释剂、强抗腐蚀。</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手持枪式喷笔气泵套装小型空压机小口径喷枪上色喷漆喷涂模型彩绘</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台</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技术参数：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电压、频率、插头按用户国标准。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功率:1/5 HP</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转速:1450/1750r.p.m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自动停机: 4 bar/57 psi</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自动开机:3 bar/43 psi</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排气量:23-25L/min</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出气口: 1/8 BSP</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适用喷笔口径：00.2-1.0 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净重:3.6kg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外型尺寸:255*135*205mm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装箱资料：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外箱尺寸:50x29.5x51.5CM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205mm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净重/毛重:21.6/24.6KGS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个/箱:6PCS</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leduv光油低能量快速固化好光泽高硬度高uv漆uv涂料 uv上光油</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透明LED款，透明汞灯款，1.0mm口径上壶喷枪，专用紫外线灯365nm（20w无风扇），专用紫外线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灯365nm，专用紫外线灯365nm160w,uv专用稀释剂</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6" w:hRule="atLeast"/>
          <w:jc w:val="center"/>
        </w:trPr>
        <w:tc>
          <w:tcPr>
            <w:tcW w:w="650" w:type="dxa"/>
            <w:tcBorders>
              <w:top w:val="single" w:color="auto" w:sz="6" w:space="0"/>
              <w:left w:val="single" w:color="auto" w:sz="6" w:space="0"/>
              <w:bottom w:val="single" w:color="auto" w:sz="6" w:space="0"/>
              <w:right w:val="nil"/>
            </w:tcBorders>
            <w:vAlign w:val="center"/>
          </w:tcPr>
          <w:p>
            <w:pPr>
              <w:autoSpaceDE w:val="0"/>
              <w:autoSpaceDN w:val="0"/>
              <w:adjustRightInd w:val="0"/>
              <w:jc w:val="right"/>
              <w:rPr>
                <w:rFonts w:hint="eastAsia" w:ascii="宋体" w:hAnsi="宋体" w:eastAsia="宋体" w:cs="宋体"/>
                <w:kern w:val="0"/>
                <w:szCs w:val="21"/>
                <w:lang w:eastAsia="zh-CN"/>
              </w:rPr>
            </w:pPr>
            <w:r>
              <w:rPr>
                <w:rFonts w:hint="eastAsia" w:ascii="宋体" w:hAnsi="宋体" w:eastAsia="宋体" w:cs="宋体"/>
                <w:kern w:val="0"/>
                <w:szCs w:val="21"/>
                <w:lang w:eastAsia="zh-CN"/>
              </w:rPr>
              <w:t>合</w:t>
            </w:r>
          </w:p>
        </w:tc>
        <w:tc>
          <w:tcPr>
            <w:tcW w:w="1162" w:type="dxa"/>
            <w:tcBorders>
              <w:top w:val="single" w:color="auto" w:sz="6" w:space="0"/>
              <w:left w:val="nil"/>
              <w:bottom w:val="single" w:color="auto" w:sz="6" w:space="0"/>
              <w:right w:val="single" w:color="auto" w:sz="6" w:space="0"/>
            </w:tcBorders>
            <w:vAlign w:val="center"/>
          </w:tcPr>
          <w:p>
            <w:pPr>
              <w:autoSpaceDE w:val="0"/>
              <w:autoSpaceDN w:val="0"/>
              <w:adjustRightInd w:val="0"/>
              <w:jc w:val="right"/>
              <w:rPr>
                <w:rFonts w:ascii="宋体" w:hAnsi="宋体" w:eastAsia="宋体" w:cs="宋体"/>
                <w:kern w:val="0"/>
                <w:szCs w:val="21"/>
              </w:rPr>
            </w:pPr>
            <w:r>
              <w:rPr>
                <w:rFonts w:hint="eastAsia" w:ascii="宋体" w:hAnsi="宋体" w:eastAsia="宋体" w:cs="宋体"/>
                <w:kern w:val="0"/>
                <w:szCs w:val="21"/>
              </w:rPr>
              <w:t>计</w:t>
            </w:r>
          </w:p>
        </w:tc>
        <w:tc>
          <w:tcPr>
            <w:tcW w:w="8431" w:type="dxa"/>
            <w:gridSpan w:val="6"/>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both"/>
              <w:rPr>
                <w:rFonts w:hint="eastAsia" w:ascii="宋体" w:hAnsi="宋体" w:eastAsia="宋体" w:cs="宋体"/>
                <w:kern w:val="0"/>
                <w:szCs w:val="21"/>
                <w:lang w:eastAsia="zh-CN"/>
              </w:rPr>
            </w:pPr>
            <w:r>
              <w:rPr>
                <w:rFonts w:hint="eastAsia" w:ascii="宋体" w:hAnsi="宋体" w:eastAsia="宋体" w:cs="宋体"/>
                <w:kern w:val="0"/>
                <w:szCs w:val="21"/>
              </w:rPr>
              <w:t>小写：</w:t>
            </w:r>
            <w:r>
              <w:rPr>
                <w:rFonts w:hint="eastAsia" w:ascii="宋体" w:hAnsi="宋体" w:eastAsia="宋体" w:cs="宋体"/>
                <w:kern w:val="0"/>
                <w:szCs w:val="21"/>
                <w:lang w:val="en-US" w:eastAsia="zh-CN"/>
              </w:rPr>
              <w:t xml:space="preserve">   </w:t>
            </w:r>
            <w:r>
              <w:rPr>
                <w:rFonts w:ascii="宋体" w:hAnsi="宋体" w:eastAsia="宋体" w:cs="宋体"/>
                <w:kern w:val="0"/>
                <w:szCs w:val="21"/>
              </w:rPr>
              <w:t xml:space="preserve"> </w:t>
            </w:r>
            <w:r>
              <w:rPr>
                <w:rFonts w:hint="eastAsia" w:ascii="宋体" w:hAnsi="宋体" w:eastAsia="宋体" w:cs="宋体"/>
                <w:kern w:val="0"/>
                <w:szCs w:val="21"/>
              </w:rPr>
              <w:t>元</w:t>
            </w:r>
            <w:r>
              <w:rPr>
                <w:rFonts w:ascii="宋体" w:hAnsi="宋体" w:eastAsia="宋体" w:cs="宋体"/>
                <w:kern w:val="0"/>
                <w:szCs w:val="21"/>
              </w:rPr>
              <w:t xml:space="preserve"> </w:t>
            </w:r>
            <w:r>
              <w:rPr>
                <w:rFonts w:hint="eastAsia" w:ascii="宋体" w:hAnsi="宋体" w:eastAsia="宋体" w:cs="宋体"/>
                <w:kern w:val="0"/>
                <w:szCs w:val="21"/>
              </w:rPr>
              <w:t>、</w:t>
            </w:r>
            <w:r>
              <w:rPr>
                <w:rFonts w:ascii="宋体" w:hAnsi="宋体" w:eastAsia="宋体" w:cs="宋体"/>
                <w:kern w:val="0"/>
                <w:szCs w:val="21"/>
              </w:rPr>
              <w:t xml:space="preserve"> </w:t>
            </w:r>
            <w:r>
              <w:rPr>
                <w:rFonts w:hint="eastAsia" w:ascii="宋体" w:hAnsi="宋体" w:eastAsia="宋体" w:cs="宋体"/>
                <w:kern w:val="0"/>
                <w:szCs w:val="21"/>
              </w:rPr>
              <w:t>大写：</w:t>
            </w:r>
            <w:r>
              <w:rPr>
                <w:rFonts w:hint="eastAsia" w:ascii="宋体" w:hAnsi="宋体" w:eastAsia="宋体" w:cs="宋体"/>
                <w:kern w:val="0"/>
                <w:szCs w:val="21"/>
                <w:lang w:val="en-US" w:eastAsia="zh-CN"/>
              </w:rPr>
              <w:t xml:space="preserve">              </w:t>
            </w:r>
            <w:r>
              <w:rPr>
                <w:rFonts w:hint="eastAsia" w:ascii="宋体" w:hAnsi="宋体" w:eastAsia="宋体" w:cs="宋体"/>
                <w:kern w:val="0"/>
                <w:szCs w:val="21"/>
              </w:rPr>
              <w:t>元</w:t>
            </w:r>
            <w:r>
              <w:rPr>
                <w:rFonts w:hint="eastAsia" w:ascii="宋体" w:hAnsi="宋体" w:eastAsia="宋体" w:cs="宋体"/>
                <w:kern w:val="0"/>
                <w:szCs w:val="21"/>
                <w:lang w:eastAsia="zh-CN"/>
              </w:rPr>
              <w:t>整。</w:t>
            </w:r>
          </w:p>
        </w:tc>
      </w:tr>
    </w:tbl>
    <w:p>
      <w:pPr>
        <w:pStyle w:val="2"/>
        <w:rPr>
          <w:rFonts w:hint="eastAsia"/>
          <w:lang w:val="en-US" w:eastAsia="zh-CN"/>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C4608"/>
    <w:rsid w:val="0A854A2B"/>
    <w:rsid w:val="0ABD57CC"/>
    <w:rsid w:val="0AE87F1A"/>
    <w:rsid w:val="0B59604C"/>
    <w:rsid w:val="0B831F9A"/>
    <w:rsid w:val="0C2D1C9E"/>
    <w:rsid w:val="0C8D7DF3"/>
    <w:rsid w:val="0CAB3131"/>
    <w:rsid w:val="0DF7766E"/>
    <w:rsid w:val="0E4112D9"/>
    <w:rsid w:val="0E737964"/>
    <w:rsid w:val="0E840851"/>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2575ED"/>
    <w:rsid w:val="18DF3200"/>
    <w:rsid w:val="193910E5"/>
    <w:rsid w:val="195135D8"/>
    <w:rsid w:val="1A7D5684"/>
    <w:rsid w:val="1AC15311"/>
    <w:rsid w:val="1B134EC3"/>
    <w:rsid w:val="1C2C52C5"/>
    <w:rsid w:val="1CAD5CEA"/>
    <w:rsid w:val="1D113FA4"/>
    <w:rsid w:val="1D5B7B20"/>
    <w:rsid w:val="1E57546D"/>
    <w:rsid w:val="1E8F3ED4"/>
    <w:rsid w:val="1F8A2728"/>
    <w:rsid w:val="20371A9D"/>
    <w:rsid w:val="20E76CAB"/>
    <w:rsid w:val="21394209"/>
    <w:rsid w:val="21EA0F6E"/>
    <w:rsid w:val="231C7821"/>
    <w:rsid w:val="237B095A"/>
    <w:rsid w:val="241C27E5"/>
    <w:rsid w:val="24DB4A8C"/>
    <w:rsid w:val="259E1B40"/>
    <w:rsid w:val="25A07E30"/>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643CD2"/>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7D054E"/>
    <w:rsid w:val="3CFC1165"/>
    <w:rsid w:val="3D015A8B"/>
    <w:rsid w:val="3D334134"/>
    <w:rsid w:val="3D415E88"/>
    <w:rsid w:val="3D756085"/>
    <w:rsid w:val="3EBB220E"/>
    <w:rsid w:val="3F291FD7"/>
    <w:rsid w:val="3F714EB4"/>
    <w:rsid w:val="3FE700DA"/>
    <w:rsid w:val="400F5387"/>
    <w:rsid w:val="409E6959"/>
    <w:rsid w:val="40E33CB6"/>
    <w:rsid w:val="40E672A8"/>
    <w:rsid w:val="421B5AB1"/>
    <w:rsid w:val="42FA78AA"/>
    <w:rsid w:val="436A71FB"/>
    <w:rsid w:val="446A2A35"/>
    <w:rsid w:val="44A875A4"/>
    <w:rsid w:val="45472443"/>
    <w:rsid w:val="45726CAD"/>
    <w:rsid w:val="45E75B72"/>
    <w:rsid w:val="46787084"/>
    <w:rsid w:val="46F25FA8"/>
    <w:rsid w:val="472F74AE"/>
    <w:rsid w:val="490C16E0"/>
    <w:rsid w:val="497154DF"/>
    <w:rsid w:val="4A364969"/>
    <w:rsid w:val="4B3710C6"/>
    <w:rsid w:val="4C5338DC"/>
    <w:rsid w:val="4C661EAD"/>
    <w:rsid w:val="4C8E350F"/>
    <w:rsid w:val="4D143759"/>
    <w:rsid w:val="4DF14748"/>
    <w:rsid w:val="4FDA5DC0"/>
    <w:rsid w:val="511D7321"/>
    <w:rsid w:val="52172637"/>
    <w:rsid w:val="521B665C"/>
    <w:rsid w:val="52DE7538"/>
    <w:rsid w:val="53D6057F"/>
    <w:rsid w:val="550E655A"/>
    <w:rsid w:val="55677B7D"/>
    <w:rsid w:val="55751482"/>
    <w:rsid w:val="55A44E60"/>
    <w:rsid w:val="55BE0C0A"/>
    <w:rsid w:val="563E56D8"/>
    <w:rsid w:val="56793777"/>
    <w:rsid w:val="56D23F20"/>
    <w:rsid w:val="57524BAD"/>
    <w:rsid w:val="58696FE1"/>
    <w:rsid w:val="58967865"/>
    <w:rsid w:val="58DB0E89"/>
    <w:rsid w:val="59937581"/>
    <w:rsid w:val="59FD5891"/>
    <w:rsid w:val="5A2D31D7"/>
    <w:rsid w:val="5A4001CD"/>
    <w:rsid w:val="5A827677"/>
    <w:rsid w:val="5B46758A"/>
    <w:rsid w:val="5B7E5A0A"/>
    <w:rsid w:val="5B8007D7"/>
    <w:rsid w:val="5CC37E03"/>
    <w:rsid w:val="5D3C6E24"/>
    <w:rsid w:val="5D565CCA"/>
    <w:rsid w:val="5DD93569"/>
    <w:rsid w:val="5DDE13DF"/>
    <w:rsid w:val="5DEB0DD3"/>
    <w:rsid w:val="5ED66C02"/>
    <w:rsid w:val="5FBE0A6E"/>
    <w:rsid w:val="5FDF0124"/>
    <w:rsid w:val="60072A34"/>
    <w:rsid w:val="60AE143D"/>
    <w:rsid w:val="61810A7F"/>
    <w:rsid w:val="61AA1436"/>
    <w:rsid w:val="62E969E6"/>
    <w:rsid w:val="62FA4553"/>
    <w:rsid w:val="635F6889"/>
    <w:rsid w:val="648A6BD3"/>
    <w:rsid w:val="652B354E"/>
    <w:rsid w:val="65E41CEC"/>
    <w:rsid w:val="65FC1843"/>
    <w:rsid w:val="66F44F9A"/>
    <w:rsid w:val="6703567D"/>
    <w:rsid w:val="677F6F32"/>
    <w:rsid w:val="68242688"/>
    <w:rsid w:val="6873134A"/>
    <w:rsid w:val="68DF31E0"/>
    <w:rsid w:val="68F77EE8"/>
    <w:rsid w:val="6A473E6C"/>
    <w:rsid w:val="6C3A4D28"/>
    <w:rsid w:val="6C476A65"/>
    <w:rsid w:val="6D1143E7"/>
    <w:rsid w:val="6D243D76"/>
    <w:rsid w:val="6EEB6630"/>
    <w:rsid w:val="70A70FB3"/>
    <w:rsid w:val="70EF3BC6"/>
    <w:rsid w:val="70FE0565"/>
    <w:rsid w:val="71065830"/>
    <w:rsid w:val="714025C6"/>
    <w:rsid w:val="717B04E2"/>
    <w:rsid w:val="72451486"/>
    <w:rsid w:val="726A3B6F"/>
    <w:rsid w:val="739326B7"/>
    <w:rsid w:val="739864CD"/>
    <w:rsid w:val="73A1555E"/>
    <w:rsid w:val="73DC7DFF"/>
    <w:rsid w:val="74383190"/>
    <w:rsid w:val="743E064E"/>
    <w:rsid w:val="747D4382"/>
    <w:rsid w:val="74EB34EA"/>
    <w:rsid w:val="75170C43"/>
    <w:rsid w:val="751747F8"/>
    <w:rsid w:val="752A0060"/>
    <w:rsid w:val="755161DC"/>
    <w:rsid w:val="75546E5B"/>
    <w:rsid w:val="7594657A"/>
    <w:rsid w:val="777F323F"/>
    <w:rsid w:val="78AA53A5"/>
    <w:rsid w:val="78B0277B"/>
    <w:rsid w:val="78FD1A99"/>
    <w:rsid w:val="79196E60"/>
    <w:rsid w:val="7ABA1344"/>
    <w:rsid w:val="7AE36DFF"/>
    <w:rsid w:val="7D225AFC"/>
    <w:rsid w:val="7D673CC8"/>
    <w:rsid w:val="7D740341"/>
    <w:rsid w:val="7DAC327C"/>
    <w:rsid w:val="7E480EBC"/>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 w:type="character" w:customStyle="1" w:styleId="116">
    <w:name w:val="font51"/>
    <w:basedOn w:val="22"/>
    <w:qFormat/>
    <w:uiPriority w:val="0"/>
    <w:rPr>
      <w:rFonts w:hint="eastAsia" w:ascii="仿宋" w:hAnsi="仿宋" w:eastAsia="仿宋" w:cs="仿宋"/>
      <w:color w:val="000000"/>
      <w:sz w:val="24"/>
      <w:szCs w:val="24"/>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5</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2026-09-30T08:15:14Z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