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Style w:val="23"/>
          <w:rFonts w:ascii="宋体" w:hAnsi="宋体" w:eastAsia="宋体"/>
          <w:b w:val="0"/>
          <w:sz w:val="28"/>
          <w:szCs w:val="28"/>
        </w:rPr>
      </w:pPr>
      <w:r>
        <w:rPr>
          <w:rStyle w:val="23"/>
          <w:rFonts w:hint="eastAsia" w:ascii="宋体" w:hAnsi="宋体" w:eastAsia="宋体"/>
          <w:b w:val="0"/>
          <w:sz w:val="28"/>
          <w:szCs w:val="28"/>
        </w:rPr>
        <w:t>附件</w:t>
      </w:r>
      <w:r>
        <w:rPr>
          <w:rStyle w:val="23"/>
          <w:rFonts w:hint="eastAsia" w:ascii="宋体" w:hAnsi="宋体" w:eastAsia="宋体"/>
          <w:b w:val="0"/>
          <w:sz w:val="28"/>
          <w:szCs w:val="28"/>
          <w:lang w:val="en-US" w:eastAsia="zh-CN"/>
        </w:rPr>
        <w:t>1-报价表</w:t>
      </w:r>
      <w:r>
        <w:rPr>
          <w:rStyle w:val="23"/>
          <w:rFonts w:hint="eastAsia" w:ascii="宋体" w:hAnsi="宋体" w:eastAsia="宋体"/>
          <w:b w:val="0"/>
          <w:sz w:val="28"/>
          <w:szCs w:val="28"/>
        </w:rPr>
        <w:t xml:space="preserve">：      </w:t>
      </w:r>
    </w:p>
    <w:p>
      <w:pPr>
        <w:jc w:val="center"/>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color w:val="333333"/>
          <w:sz w:val="32"/>
          <w:szCs w:val="32"/>
          <w:lang w:val="en-US" w:eastAsia="zh-CN"/>
        </w:rPr>
        <w:t>采购项目</w:t>
      </w:r>
      <w:r>
        <w:rPr>
          <w:rFonts w:hint="default" w:asciiTheme="majorEastAsia" w:hAnsiTheme="majorEastAsia" w:eastAsiaTheme="majorEastAsia" w:cstheme="majorEastAsia"/>
          <w:b/>
          <w:bCs/>
          <w:color w:val="333333"/>
          <w:sz w:val="32"/>
          <w:szCs w:val="32"/>
          <w:lang w:val="en-US" w:eastAsia="zh-CN"/>
        </w:rPr>
        <w:t>“</w:t>
      </w:r>
      <w:r>
        <w:rPr>
          <w:rFonts w:hint="eastAsia" w:asciiTheme="majorEastAsia" w:hAnsiTheme="majorEastAsia" w:eastAsiaTheme="majorEastAsia" w:cstheme="majorEastAsia"/>
          <w:b/>
          <w:bCs/>
          <w:color w:val="333333"/>
          <w:sz w:val="32"/>
          <w:szCs w:val="32"/>
          <w:lang w:val="en-US" w:eastAsia="zh-CN"/>
        </w:rPr>
        <w:t>材料性能检测实训室建设</w:t>
      </w:r>
      <w:r>
        <w:rPr>
          <w:rFonts w:hint="default" w:asciiTheme="majorEastAsia" w:hAnsiTheme="majorEastAsia" w:eastAsiaTheme="majorEastAsia" w:cstheme="majorEastAsia"/>
          <w:b/>
          <w:bCs/>
          <w:color w:val="333333"/>
          <w:sz w:val="32"/>
          <w:szCs w:val="32"/>
          <w:lang w:val="en-US" w:eastAsia="zh-CN"/>
        </w:rPr>
        <w:t>”招标控制价</w:t>
      </w:r>
      <w:r>
        <w:rPr>
          <w:rFonts w:hint="eastAsia" w:asciiTheme="majorEastAsia" w:hAnsiTheme="majorEastAsia" w:eastAsiaTheme="majorEastAsia" w:cstheme="majorEastAsia"/>
          <w:b/>
          <w:bCs/>
          <w:color w:val="333333"/>
          <w:sz w:val="32"/>
          <w:szCs w:val="32"/>
        </w:rPr>
        <w:t>报</w:t>
      </w:r>
      <w:r>
        <w:rPr>
          <w:rFonts w:hint="eastAsia" w:asciiTheme="majorEastAsia" w:hAnsiTheme="majorEastAsia" w:eastAsiaTheme="majorEastAsia" w:cstheme="majorEastAsia"/>
          <w:b/>
          <w:bCs/>
          <w:sz w:val="32"/>
          <w:szCs w:val="32"/>
        </w:rPr>
        <w:t>价表</w:t>
      </w:r>
    </w:p>
    <w:p>
      <w:pPr>
        <w:jc w:val="center"/>
        <w:rPr>
          <w:rFonts w:hint="eastAsia" w:ascii="楷体" w:hAnsi="楷体" w:eastAsia="楷体" w:cs="仿宋_GB2312"/>
          <w:sz w:val="24"/>
          <w:szCs w:val="24"/>
        </w:rPr>
      </w:pPr>
      <w:r>
        <w:rPr>
          <w:rFonts w:hint="eastAsia" w:ascii="楷体" w:hAnsi="楷体" w:eastAsia="楷体" w:cs="仿宋_GB2312"/>
          <w:sz w:val="24"/>
          <w:szCs w:val="24"/>
        </w:rPr>
        <w:t>（有效报价时间：自发出之日起至202</w:t>
      </w:r>
      <w:r>
        <w:rPr>
          <w:rFonts w:hint="eastAsia" w:ascii="楷体" w:hAnsi="楷体" w:eastAsia="楷体" w:cs="仿宋_GB2312"/>
          <w:sz w:val="24"/>
          <w:szCs w:val="24"/>
          <w:lang w:val="en-US" w:eastAsia="zh-CN"/>
        </w:rPr>
        <w:t>6</w:t>
      </w:r>
      <w:r>
        <w:rPr>
          <w:rFonts w:hint="eastAsia" w:ascii="楷体" w:hAnsi="楷体" w:eastAsia="楷体" w:cs="仿宋_GB2312"/>
          <w:sz w:val="24"/>
          <w:szCs w:val="24"/>
        </w:rPr>
        <w:t>年</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月</w:t>
      </w:r>
      <w:r>
        <w:rPr>
          <w:rFonts w:hint="eastAsia" w:ascii="楷体" w:hAnsi="楷体" w:eastAsia="楷体" w:cs="仿宋_GB2312"/>
          <w:sz w:val="24"/>
          <w:szCs w:val="24"/>
          <w:lang w:val="en-US" w:eastAsia="zh-CN"/>
        </w:rPr>
        <w:t>10</w:t>
      </w:r>
      <w:r>
        <w:rPr>
          <w:rFonts w:hint="eastAsia" w:ascii="楷体" w:hAnsi="楷体" w:eastAsia="楷体" w:cs="仿宋_GB2312"/>
          <w:sz w:val="24"/>
          <w:szCs w:val="24"/>
        </w:rPr>
        <w:t>日</w:t>
      </w:r>
      <w:r>
        <w:rPr>
          <w:rFonts w:hint="eastAsia" w:ascii="楷体" w:hAnsi="楷体" w:eastAsia="楷体" w:cs="仿宋_GB2312"/>
          <w:sz w:val="24"/>
          <w:szCs w:val="24"/>
          <w:lang w:val="en-US" w:eastAsia="zh-CN"/>
        </w:rPr>
        <w:t>16</w:t>
      </w:r>
      <w:r>
        <w:rPr>
          <w:rFonts w:hint="eastAsia" w:ascii="楷体" w:hAnsi="楷体" w:eastAsia="楷体" w:cs="仿宋_GB2312"/>
          <w:sz w:val="24"/>
          <w:szCs w:val="24"/>
        </w:rPr>
        <w:t>时止）</w:t>
      </w:r>
    </w:p>
    <w:tbl>
      <w:tblPr>
        <w:tblStyle w:val="35"/>
        <w:tblpPr w:leftFromText="180" w:rightFromText="180" w:vertAnchor="text" w:horzAnchor="page" w:tblpX="1081" w:tblpY="210"/>
        <w:tblOverlap w:val="never"/>
        <w:tblW w:w="981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69"/>
        <w:gridCol w:w="1512"/>
        <w:gridCol w:w="858"/>
        <w:gridCol w:w="828"/>
        <w:gridCol w:w="1596"/>
        <w:gridCol w:w="424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760" w:hRule="atLeast"/>
        </w:trPr>
        <w:tc>
          <w:tcPr>
            <w:tcW w:w="769"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序号</w:t>
            </w:r>
          </w:p>
        </w:tc>
        <w:tc>
          <w:tcPr>
            <w:tcW w:w="1512"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名称</w:t>
            </w:r>
          </w:p>
        </w:tc>
        <w:tc>
          <w:tcPr>
            <w:tcW w:w="85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单位</w:t>
            </w:r>
          </w:p>
        </w:tc>
        <w:tc>
          <w:tcPr>
            <w:tcW w:w="828" w:type="dxa"/>
            <w:vAlign w:val="center"/>
          </w:tcPr>
          <w:p>
            <w:pPr>
              <w:jc w:val="center"/>
              <w:rPr>
                <w:rFonts w:ascii="仿宋" w:hAnsi="仿宋" w:eastAsia="仿宋"/>
                <w:b/>
                <w:kern w:val="0"/>
                <w:sz w:val="24"/>
                <w:szCs w:val="24"/>
              </w:rPr>
            </w:pPr>
            <w:r>
              <w:rPr>
                <w:rFonts w:hint="eastAsia" w:ascii="仿宋" w:hAnsi="仿宋" w:eastAsia="仿宋"/>
                <w:b/>
                <w:kern w:val="0"/>
                <w:sz w:val="24"/>
                <w:szCs w:val="24"/>
              </w:rPr>
              <w:t>数量</w:t>
            </w:r>
          </w:p>
        </w:tc>
        <w:tc>
          <w:tcPr>
            <w:tcW w:w="1596" w:type="dxa"/>
            <w:vAlign w:val="center"/>
          </w:tcPr>
          <w:p>
            <w:pPr>
              <w:adjustRightInd w:val="0"/>
              <w:snapToGrid w:val="0"/>
              <w:jc w:val="center"/>
              <w:rPr>
                <w:rFonts w:hint="eastAsia" w:ascii="仿宋" w:hAnsi="仿宋" w:eastAsia="仿宋"/>
                <w:b/>
                <w:kern w:val="0"/>
                <w:sz w:val="24"/>
                <w:szCs w:val="24"/>
                <w:lang w:eastAsia="zh-CN"/>
              </w:rPr>
            </w:pPr>
            <w:r>
              <w:rPr>
                <w:rFonts w:hint="eastAsia" w:ascii="仿宋" w:hAnsi="仿宋" w:eastAsia="仿宋"/>
                <w:b/>
                <w:kern w:val="0"/>
                <w:sz w:val="24"/>
                <w:szCs w:val="24"/>
              </w:rPr>
              <w:t>主要技术参数</w:t>
            </w:r>
            <w:r>
              <w:rPr>
                <w:rFonts w:hint="eastAsia" w:ascii="仿宋" w:hAnsi="仿宋" w:eastAsia="仿宋"/>
                <w:b/>
                <w:kern w:val="0"/>
                <w:sz w:val="24"/>
                <w:szCs w:val="24"/>
                <w:lang w:eastAsia="zh-CN"/>
              </w:rPr>
              <w:t>及要求</w:t>
            </w:r>
          </w:p>
        </w:tc>
        <w:tc>
          <w:tcPr>
            <w:tcW w:w="4248" w:type="dxa"/>
            <w:vAlign w:val="center"/>
          </w:tcPr>
          <w:p>
            <w:pPr>
              <w:adjustRightInd w:val="0"/>
              <w:snapToGrid w:val="0"/>
              <w:jc w:val="center"/>
              <w:rPr>
                <w:rFonts w:hint="eastAsia" w:ascii="仿宋" w:hAnsi="仿宋" w:eastAsia="仿宋" w:cs="仿宋"/>
                <w:b/>
                <w:kern w:val="0"/>
                <w:sz w:val="24"/>
                <w:szCs w:val="24"/>
                <w:lang w:val="en-US" w:eastAsia="zh-CN"/>
              </w:rPr>
            </w:pPr>
            <w:r>
              <w:rPr>
                <w:rFonts w:hint="eastAsia" w:ascii="仿宋" w:hAnsi="仿宋" w:eastAsia="仿宋" w:cs="仿宋"/>
                <w:b/>
                <w:kern w:val="0"/>
                <w:sz w:val="24"/>
                <w:szCs w:val="24"/>
                <w:lang w:val="en-US" w:eastAsia="zh-CN"/>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2736" w:hRule="exact"/>
        </w:trPr>
        <w:tc>
          <w:tcPr>
            <w:tcW w:w="769"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12"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color w:val="333333"/>
                <w:sz w:val="28"/>
                <w:szCs w:val="28"/>
                <w:lang w:eastAsia="zh-CN"/>
              </w:rPr>
              <w:t>材料性能检测实训室建设</w:t>
            </w:r>
          </w:p>
        </w:tc>
        <w:tc>
          <w:tcPr>
            <w:tcW w:w="858" w:type="dxa"/>
            <w:vAlign w:val="center"/>
          </w:tcPr>
          <w:p>
            <w:pPr>
              <w:adjustRightInd w:val="0"/>
              <w:snapToGrid w:val="0"/>
              <w:jc w:val="center"/>
              <w:rPr>
                <w:rFonts w:hint="eastAsia"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项</w:t>
            </w:r>
          </w:p>
        </w:tc>
        <w:tc>
          <w:tcPr>
            <w:tcW w:w="828"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1</w:t>
            </w:r>
          </w:p>
        </w:tc>
        <w:tc>
          <w:tcPr>
            <w:tcW w:w="1596" w:type="dxa"/>
            <w:vAlign w:val="center"/>
          </w:tcPr>
          <w:p>
            <w:pPr>
              <w:adjustRightInd w:val="0"/>
              <w:snapToGrid w:val="0"/>
              <w:jc w:val="center"/>
              <w:rPr>
                <w:rFonts w:hint="default" w:ascii="仿宋" w:hAnsi="仿宋" w:eastAsia="仿宋" w:cs="仿宋"/>
                <w:b w:val="0"/>
                <w:bCs/>
                <w:kern w:val="0"/>
                <w:sz w:val="24"/>
                <w:szCs w:val="24"/>
                <w:lang w:val="en-US" w:eastAsia="zh-CN"/>
              </w:rPr>
            </w:pPr>
            <w:r>
              <w:rPr>
                <w:rFonts w:hint="eastAsia" w:ascii="仿宋" w:hAnsi="仿宋" w:eastAsia="仿宋" w:cs="仿宋"/>
                <w:b w:val="0"/>
                <w:bCs/>
                <w:kern w:val="0"/>
                <w:sz w:val="24"/>
                <w:szCs w:val="24"/>
                <w:lang w:val="en-US" w:eastAsia="zh-CN"/>
              </w:rPr>
              <w:t>见附件</w:t>
            </w:r>
          </w:p>
        </w:tc>
        <w:tc>
          <w:tcPr>
            <w:tcW w:w="4248" w:type="dxa"/>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如供应商为本项目提供的所有产品中有属于《强制性产品认证目录》范围内产品的，均应通过国家强制性产品认证并取得认证证书或经过强制性认证产品符合性自我声明。（</w:t>
            </w:r>
            <w:r>
              <w:rPr>
                <w:rFonts w:hint="eastAsia" w:asciiTheme="minorEastAsia" w:hAnsiTheme="minorEastAsia" w:cstheme="minorEastAsia"/>
                <w:sz w:val="21"/>
                <w:szCs w:val="21"/>
                <w:lang w:eastAsia="zh-CN"/>
              </w:rPr>
              <w:t>签订合同</w:t>
            </w:r>
            <w:r>
              <w:rPr>
                <w:rFonts w:hint="eastAsia" w:asciiTheme="minorEastAsia" w:hAnsiTheme="minorEastAsia" w:eastAsiaTheme="minorEastAsia" w:cstheme="minorEastAsia"/>
                <w:sz w:val="21"/>
                <w:szCs w:val="21"/>
              </w:rPr>
              <w:t>时须提供产品对应的有效的“CCC”认证证书或经过强制性认证产品符合性自我声明扫描件并加盖供应商公章）。供应商为本项目提供的所有产品应符合现行的强制性国家相关标准、行业标准。</w:t>
            </w:r>
          </w:p>
          <w:p>
            <w:pPr>
              <w:keepNext w:val="0"/>
              <w:keepLines w:val="0"/>
              <w:pageBreakBefore w:val="0"/>
              <w:widowControl w:val="0"/>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sz w:val="21"/>
                <w:szCs w:val="21"/>
              </w:rPr>
            </w:pPr>
          </w:p>
          <w:p>
            <w:pPr>
              <w:jc w:val="left"/>
              <w:rPr>
                <w:rFonts w:hint="default" w:ascii="宋体" w:hAnsi="宋体" w:eastAsia="宋体" w:cs="宋体"/>
                <w:kern w:val="0"/>
                <w:sz w:val="21"/>
                <w:szCs w:val="21"/>
                <w:lang w:val="en-US"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83" w:hRule="atLeast"/>
        </w:trPr>
        <w:tc>
          <w:tcPr>
            <w:tcW w:w="2281" w:type="dxa"/>
            <w:gridSpan w:val="2"/>
            <w:vAlign w:val="center"/>
          </w:tcPr>
          <w:p>
            <w:pPr>
              <w:widowControl/>
              <w:jc w:val="center"/>
              <w:rPr>
                <w:rFonts w:hint="eastAsia" w:ascii="仿宋" w:hAnsi="仿宋" w:eastAsia="仿宋" w:cstheme="minorEastAsia"/>
                <w:kern w:val="0"/>
                <w:sz w:val="24"/>
                <w:szCs w:val="24"/>
                <w:lang w:val="en-US" w:eastAsia="zh-CN"/>
              </w:rPr>
            </w:pPr>
            <w:r>
              <w:rPr>
                <w:rFonts w:hint="eastAsia" w:ascii="仿宋" w:hAnsi="仿宋" w:eastAsia="仿宋" w:cstheme="minorEastAsia"/>
                <w:kern w:val="0"/>
                <w:sz w:val="24"/>
                <w:szCs w:val="24"/>
                <w:lang w:val="en-US" w:eastAsia="zh-CN"/>
              </w:rPr>
              <w:t>合 计</w:t>
            </w:r>
            <w:r>
              <w:rPr>
                <w:rFonts w:hint="eastAsia" w:ascii="仿宋" w:hAnsi="仿宋" w:eastAsia="仿宋" w:cs="仿宋"/>
                <w:sz w:val="24"/>
              </w:rPr>
              <w:t>（元）</w:t>
            </w:r>
          </w:p>
        </w:tc>
        <w:tc>
          <w:tcPr>
            <w:tcW w:w="7530" w:type="dxa"/>
            <w:gridSpan w:val="4"/>
            <w:vAlign w:val="center"/>
          </w:tcPr>
          <w:p>
            <w:pPr>
              <w:jc w:val="left"/>
              <w:rPr>
                <w:rFonts w:hint="default" w:ascii="仿宋" w:hAnsi="仿宋" w:eastAsia="仿宋" w:cs="仿宋"/>
                <w:kern w:val="0"/>
                <w:sz w:val="24"/>
                <w:szCs w:val="24"/>
                <w:lang w:val="en-US" w:eastAsia="zh-CN"/>
              </w:rPr>
            </w:pPr>
            <w:r>
              <w:rPr>
                <w:rFonts w:hint="eastAsia" w:ascii="仿宋" w:hAnsi="仿宋" w:eastAsia="仿宋" w:cs="仿宋"/>
                <w:kern w:val="0"/>
                <w:sz w:val="24"/>
                <w:szCs w:val="24"/>
              </w:rPr>
              <w:t xml:space="preserve">   </w:t>
            </w:r>
            <w:r>
              <w:rPr>
                <w:rFonts w:hint="eastAsia" w:ascii="仿宋" w:hAnsi="仿宋" w:eastAsia="仿宋" w:cs="仿宋"/>
                <w:kern w:val="0"/>
                <w:sz w:val="24"/>
                <w:szCs w:val="24"/>
                <w:lang w:eastAsia="zh-CN"/>
              </w:rPr>
              <w:t>小写：</w:t>
            </w:r>
            <w:r>
              <w:rPr>
                <w:rFonts w:hint="eastAsia" w:ascii="仿宋" w:hAnsi="仿宋" w:eastAsia="仿宋" w:cs="仿宋"/>
                <w:kern w:val="0"/>
                <w:sz w:val="24"/>
                <w:szCs w:val="24"/>
                <w:lang w:val="en-US" w:eastAsia="zh-CN"/>
              </w:rPr>
              <w:t xml:space="preserve">              元、 大写：                      元整</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96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附加条件</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（如有请明确表述）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4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交货日期</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自签订合同且采购人下达供货任务书之日起XX天内交货到采购人指定地点并验收合格投入使用。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1334"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报价商家名称</w:t>
            </w:r>
          </w:p>
          <w:p>
            <w:pPr>
              <w:jc w:val="center"/>
              <w:rPr>
                <w:rFonts w:ascii="仿宋" w:hAnsi="仿宋" w:eastAsia="仿宋" w:cs="仿宋"/>
                <w:kern w:val="0"/>
                <w:sz w:val="24"/>
                <w:szCs w:val="24"/>
              </w:rPr>
            </w:pPr>
            <w:r>
              <w:rPr>
                <w:rFonts w:hint="eastAsia" w:ascii="仿宋" w:hAnsi="仿宋" w:eastAsia="仿宋" w:cs="仿宋"/>
                <w:kern w:val="0"/>
                <w:sz w:val="24"/>
                <w:szCs w:val="24"/>
              </w:rPr>
              <w:t>（盖章）</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（盖章方为有效，否则报价无效。）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7"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联系人及电话</w:t>
            </w:r>
          </w:p>
        </w:tc>
        <w:tc>
          <w:tcPr>
            <w:tcW w:w="7530" w:type="dxa"/>
            <w:gridSpan w:val="4"/>
            <w:vAlign w:val="center"/>
          </w:tcPr>
          <w:p>
            <w:pPr>
              <w:jc w:val="center"/>
              <w:rPr>
                <w:rFonts w:ascii="仿宋" w:hAnsi="仿宋" w:eastAsia="仿宋" w:cs="仿宋"/>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91" w:hRule="atLeast"/>
        </w:trPr>
        <w:tc>
          <w:tcPr>
            <w:tcW w:w="2281" w:type="dxa"/>
            <w:gridSpan w:val="2"/>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报价时间</w:t>
            </w:r>
          </w:p>
        </w:tc>
        <w:tc>
          <w:tcPr>
            <w:tcW w:w="7530" w:type="dxa"/>
            <w:gridSpan w:val="4"/>
            <w:vAlign w:val="center"/>
          </w:tcPr>
          <w:p>
            <w:pPr>
              <w:jc w:val="center"/>
              <w:rPr>
                <w:rFonts w:ascii="仿宋" w:hAnsi="仿宋" w:eastAsia="仿宋" w:cs="仿宋"/>
                <w:kern w:val="0"/>
                <w:sz w:val="24"/>
                <w:szCs w:val="24"/>
              </w:rPr>
            </w:pPr>
            <w:r>
              <w:rPr>
                <w:rFonts w:hint="eastAsia" w:ascii="仿宋" w:hAnsi="仿宋" w:eastAsia="仿宋" w:cs="仿宋"/>
                <w:kern w:val="0"/>
                <w:sz w:val="24"/>
                <w:szCs w:val="24"/>
              </w:rPr>
              <w:t>年     月     日</w:t>
            </w:r>
          </w:p>
        </w:tc>
      </w:tr>
    </w:tbl>
    <w:p>
      <w:pPr>
        <w:jc w:val="center"/>
        <w:rPr>
          <w:rFonts w:hint="eastAsia" w:ascii="楷体" w:hAnsi="楷体" w:eastAsia="楷体" w:cs="仿宋_GB2312"/>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ascii="宋体" w:hAnsi="宋体" w:eastAsia="宋体" w:cs="宋体"/>
          <w:b/>
          <w:bCs/>
          <w:sz w:val="18"/>
          <w:szCs w:val="18"/>
          <w:lang w:val="en-US" w:eastAsia="zh-CN"/>
        </w:rPr>
        <w:t>　备注: 报价为包干价，含税费、运输费、安装费、人工费等一切费用。</w:t>
      </w:r>
    </w:p>
    <w:p>
      <w:pPr>
        <w:rPr>
          <w:rFonts w:hint="eastAsia" w:eastAsia="宋体"/>
          <w:lang w:val="en-US" w:eastAsia="zh-CN"/>
        </w:rPr>
      </w:pPr>
      <w:r>
        <w:rPr>
          <w:rFonts w:hint="eastAsia" w:ascii="宋体" w:hAnsi="宋体" w:eastAsia="宋体" w:cs="宋体"/>
          <w:b/>
          <w:bCs/>
          <w:sz w:val="18"/>
          <w:szCs w:val="1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宋体" w:hAnsi="宋体" w:eastAsia="宋体" w:cs="宋体"/>
          <w:b/>
          <w:bCs/>
          <w:sz w:val="18"/>
          <w:szCs w:val="18"/>
          <w:lang w:val="en-US" w:eastAsia="zh-CN"/>
        </w:rPr>
      </w:pPr>
      <w:r>
        <w:rPr>
          <w:rFonts w:hint="eastAsia"/>
          <w:lang w:val="en-US" w:eastAsia="zh-CN"/>
        </w:rPr>
        <w:t>　　</w:t>
      </w:r>
    </w:p>
    <w:p>
      <w:pPr>
        <w:numPr>
          <w:ilvl w:val="0"/>
          <w:numId w:val="0"/>
        </w:numPr>
        <w:rPr>
          <w:rFonts w:hint="default"/>
          <w:lang w:val="en-US" w:eastAsia="zh-CN"/>
        </w:rPr>
      </w:pPr>
    </w:p>
    <w:p>
      <w:pPr>
        <w:pStyle w:val="2"/>
        <w:rPr>
          <w:rFonts w:hint="eastAsia"/>
          <w:lang w:val="en-US" w:eastAsia="zh-CN"/>
        </w:rPr>
      </w:pPr>
    </w:p>
    <w:p>
      <w:pPr>
        <w:jc w:val="center"/>
        <w:rPr>
          <w:rFonts w:ascii="黑体" w:hAnsi="黑体" w:eastAsia="黑体" w:cs="Times New Roman"/>
          <w:sz w:val="36"/>
          <w:szCs w:val="36"/>
        </w:rPr>
      </w:pPr>
      <w:r>
        <w:rPr>
          <w:rFonts w:hint="eastAsia" w:ascii="黑体" w:hAnsi="黑体" w:eastAsia="黑体" w:cs="Times New Roman"/>
          <w:sz w:val="36"/>
          <w:szCs w:val="36"/>
        </w:rPr>
        <w:t>材料性能测试实训室采购项目参数及要求</w:t>
      </w:r>
    </w:p>
    <w:tbl>
      <w:tblPr>
        <w:tblStyle w:val="34"/>
        <w:tblW w:w="10699" w:type="dxa"/>
        <w:jc w:val="center"/>
        <w:tblInd w:w="0" w:type="dxa"/>
        <w:tblLayout w:type="fixed"/>
        <w:tblCellMar>
          <w:top w:w="0" w:type="dxa"/>
          <w:left w:w="108" w:type="dxa"/>
          <w:bottom w:w="0" w:type="dxa"/>
          <w:right w:w="108" w:type="dxa"/>
        </w:tblCellMar>
      </w:tblPr>
      <w:tblGrid>
        <w:gridCol w:w="678"/>
        <w:gridCol w:w="1040"/>
        <w:gridCol w:w="673"/>
        <w:gridCol w:w="673"/>
        <w:gridCol w:w="5208"/>
        <w:gridCol w:w="708"/>
        <w:gridCol w:w="780"/>
        <w:gridCol w:w="939"/>
      </w:tblGrid>
      <w:tr>
        <w:tblPrEx>
          <w:tblLayout w:type="fixed"/>
          <w:tblCellMar>
            <w:top w:w="0" w:type="dxa"/>
            <w:left w:w="108" w:type="dxa"/>
            <w:bottom w:w="0" w:type="dxa"/>
            <w:right w:w="108" w:type="dxa"/>
          </w:tblCellMar>
        </w:tblPrEx>
        <w:trPr>
          <w:trHeight w:val="854" w:hRule="atLeast"/>
          <w:jc w:val="center"/>
        </w:trPr>
        <w:tc>
          <w:tcPr>
            <w:tcW w:w="10699" w:type="dxa"/>
            <w:gridSpan w:val="8"/>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b/>
                <w:kern w:val="0"/>
                <w:sz w:val="28"/>
                <w:szCs w:val="28"/>
              </w:rPr>
              <w:t>一、技术参</w:t>
            </w:r>
            <w:r>
              <w:rPr>
                <w:rFonts w:hint="eastAsia" w:ascii="宋体" w:hAnsi="宋体" w:eastAsia="宋体" w:cs="宋体"/>
                <w:b/>
                <w:kern w:val="0"/>
                <w:sz w:val="28"/>
                <w:szCs w:val="28"/>
                <w:lang w:eastAsia="zh-CN"/>
              </w:rPr>
              <w:t>数</w:t>
            </w:r>
            <w:bookmarkStart w:id="0" w:name="_GoBack"/>
            <w:bookmarkEnd w:id="0"/>
            <w:r>
              <w:rPr>
                <w:rFonts w:hint="eastAsia" w:ascii="宋体" w:hAnsi="宋体" w:eastAsia="宋体" w:cs="宋体"/>
                <w:b/>
                <w:kern w:val="0"/>
                <w:sz w:val="28"/>
                <w:szCs w:val="28"/>
              </w:rPr>
              <w:t>要求</w:t>
            </w:r>
          </w:p>
        </w:tc>
      </w:tr>
      <w:tr>
        <w:tblPrEx>
          <w:tblLayout w:type="fixed"/>
          <w:tblCellMar>
            <w:top w:w="0" w:type="dxa"/>
            <w:left w:w="108" w:type="dxa"/>
            <w:bottom w:w="0" w:type="dxa"/>
            <w:right w:w="108" w:type="dxa"/>
          </w:tblCellMar>
        </w:tblPrEx>
        <w:trPr>
          <w:trHeight w:val="538"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序号</w:t>
            </w:r>
          </w:p>
        </w:tc>
        <w:tc>
          <w:tcPr>
            <w:tcW w:w="104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品名</w:t>
            </w:r>
          </w:p>
        </w:tc>
        <w:tc>
          <w:tcPr>
            <w:tcW w:w="67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数量</w:t>
            </w:r>
          </w:p>
        </w:tc>
        <w:tc>
          <w:tcPr>
            <w:tcW w:w="67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单位</w:t>
            </w:r>
          </w:p>
        </w:tc>
        <w:tc>
          <w:tcPr>
            <w:tcW w:w="52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技术要求</w:t>
            </w:r>
          </w:p>
        </w:tc>
        <w:tc>
          <w:tcPr>
            <w:tcW w:w="7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单价</w:t>
            </w:r>
          </w:p>
        </w:tc>
        <w:tc>
          <w:tcPr>
            <w:tcW w:w="78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Cs w:val="21"/>
              </w:rPr>
            </w:pPr>
            <w:r>
              <w:rPr>
                <w:rFonts w:hint="eastAsia" w:ascii="宋体" w:hAnsi="宋体" w:eastAsia="宋体" w:cs="宋体"/>
                <w:kern w:val="0"/>
                <w:szCs w:val="21"/>
              </w:rPr>
              <w:t>总价</w:t>
            </w:r>
          </w:p>
        </w:tc>
        <w:tc>
          <w:tcPr>
            <w:tcW w:w="93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hAnsi="宋体" w:eastAsia="宋体" w:cs="宋体"/>
                <w:kern w:val="0"/>
                <w:sz w:val="16"/>
                <w:szCs w:val="16"/>
              </w:rPr>
            </w:pPr>
            <w:r>
              <w:rPr>
                <w:rFonts w:ascii="仿宋" w:hAnsi="仿宋" w:eastAsia="仿宋" w:cs="Times New Roman"/>
                <w:sz w:val="16"/>
                <w:szCs w:val="16"/>
              </w:rPr>
              <w:t>所属行</w:t>
            </w:r>
            <w:r>
              <w:rPr>
                <w:rFonts w:hint="eastAsia" w:ascii="仿宋" w:hAnsi="仿宋" w:eastAsia="仿宋" w:cs="Times New Roman"/>
                <w:sz w:val="16"/>
                <w:szCs w:val="16"/>
              </w:rPr>
              <w:t>业</w:t>
            </w: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倒置金相显微镜</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1、放大倍数：50X-1000X。</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2、光学系统：无限远色差校正光学系统，可实现明场、暗场、偏光观测。</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3、观察筒：三目观察筒，45°倾斜，瞳距调节范围50-75mm，两档分光比：双目：三目 = 100：0或0：100。铰链组可360°旋转。</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4、目镜：高眼点大视野平场10X目镜，带视度调节，视场≥22mm，其中一只目镜配置十字分划板。</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5、转换器：明暗场5孔物镜转换器，配置DIC插槽，具备物镜倍率传感识别功能。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6、物镜：配置明暗场半复消色差金相物镜，指标最低要求：</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5X/NA≥0.15/WD≥9.00mm；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10X/NA≥0.3/WD≥9.00mm；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20X/NA≥0.45/WD≥3.40mm；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50X/NA≥0.55/WD≥7.50mm；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100X/NA≥0.80/WD≥2.10mm。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允许提供性能不低于上述指标的同等级替代物镜。</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7、调焦机构：粗调行程≥9mm，微调精度0.002mm，配置松紧调节手轮，可防止载物台下滑。</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8、载物台：三层机械移动平台，平台尺寸≥240（W）×250（L），移动范围≥50×50mm，双向线轨传动，右手低位操控。</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9、反射照明系统：100-240V宽电压供电，12V 100W卤素灯或同等及以上性能光源；配置中心可调可变孔径光阑、可变视场光阑；配置滤色片插槽、偏光装置插槽、明暗场切换机构；具备人体感应节能功能，可实现无人使用自动断电节能。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10、机身具备前置物镜倍率显示、亮度指示功能。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11、偏光附件：起偏镜插板、360°旋转检偏镜插板。</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12、数码成像及图像系统：</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12.1. 数码成像系统：C型可调焦接口；靶面尺寸≥1英寸；像素≥2000万，最大分辨率≥5440×3648；像素尺寸≥2.4μm×2.4μm；曝光时间0.1ms-15s；支持图像、视频采集；自然冷却散热；USB3.0（5Gbps B型）接口，USB 5V供电。</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12.2. 图像处理系统：处理器综合性能不低于十核I5-13400级别；运行内存≥8GB；固态硬盘≥512G；集成显卡性能不低于Intel UHD Graphics730；具备HDMI、RJ45网络接口，USB接口总数≥6个；搭配≥23.8英寸高清显示器，屏幕分辨率≥1920×1080。</w:t>
            </w:r>
          </w:p>
          <w:p>
            <w:pPr>
              <w:numPr>
                <w:ilvl w:val="0"/>
                <w:numId w:val="0"/>
              </w:num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12.3. 软件：预装正版Windows11操作系统，配置适配本套显微镜正版图像分析软件，可为原厂配套或原厂授权正版软件，提供永久使用、支持过户的正版软件授权和合法授权证明</w:t>
            </w:r>
            <w:r>
              <w:rPr>
                <w:rFonts w:hint="default" w:ascii="Times New Roman" w:hAnsi="Times New Roman" w:eastAsia="仿宋" w:cs="Times New Roman"/>
                <w:sz w:val="22"/>
                <w:szCs w:val="22"/>
              </w:rPr>
              <w:t>。支持单帧、序列图像采集、动态录像；兼容多种图像格式；具备图像编辑、标尺标定、测量、分割计数；支持多焦面图像融合、多幅图像自动无缝拼接。</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13、配套教学数据统计分析软件1套</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13.1. 具备基础数据管理、表格处理、批量公式运算、描述性统计、图表绘制功能</w:t>
            </w:r>
            <w:r>
              <w:rPr>
                <w:rFonts w:hint="default" w:ascii="Times New Roman" w:hAnsi="Times New Roman" w:eastAsia="仿宋" w:cs="Times New Roman"/>
                <w:sz w:val="22"/>
                <w:szCs w:val="22"/>
                <w:highlight w:val="none"/>
                <w:lang w:val="en-US" w:eastAsia="zh-CN"/>
              </w:rPr>
              <w:t>(响应文件中提供软件功能界面截图，张数不限，且截图中须反应此项功能要求；截图须为软件真实运行抓图，须为完整软件窗口界面）</w:t>
            </w:r>
            <w:r>
              <w:rPr>
                <w:rFonts w:hint="default" w:ascii="Times New Roman" w:hAnsi="Times New Roman" w:eastAsia="仿宋" w:cs="Times New Roman"/>
                <w:sz w:val="22"/>
                <w:szCs w:val="22"/>
                <w:lang w:val="en-US" w:eastAsia="zh-CN"/>
              </w:rPr>
              <w:t>。</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13.2. 具备基础数据清洗：错误值、缺失值、异常值识别处理。</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13.3. 具备t检验、方差分析、非参数检验、卡方检验、基础线性回归分析功能。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13.4. 本地化离线安装，永久单机授权，无年度订阅费用；支持国产操作系统（银河麒麟、统信UOS）运行。</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13.5. 支持z-score转换、透视表、多表格合并；小样本检验、聚类分析、主成分、因子分析、多种非线性回归（Logistic、Probit、泊松回归、偏最小二乘回归）。</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highlight w:val="none"/>
                <w:lang w:val="en-US" w:eastAsia="zh-CN"/>
              </w:rPr>
              <w:t>13.6. 提供Arima、季节趋势转换、向量自回归、协整检验等多种时间序列分析模型，并提供预测功能；提供随机森林、Xgboost、人工神经网络等多种机器学习的算法模型，支持预测功能；提供Relief、包裹式、过滤式、L1-Norm等多种特征选择算法，提供PCA、Kernel-PCA等多种数据降维算法；提供SHAP值、PDP、ICE、置换特征贡献度等多种可解释性机器学习的功能模块，避免建模陷入“黑箱状态”(提供软件功能界面截图，张数不限，且截图中须反应此项功能要求；截图须为软件真实运行抓图，须为完整软件窗口界面）</w:t>
            </w:r>
            <w:r>
              <w:rPr>
                <w:rFonts w:hint="default" w:ascii="Times New Roman" w:hAnsi="Times New Roman" w:eastAsia="仿宋" w:cs="Times New Roman"/>
                <w:sz w:val="22"/>
                <w:szCs w:val="22"/>
                <w:lang w:val="en-US" w:eastAsia="zh-CN"/>
              </w:rPr>
              <w:t>。</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13.7. 支持LDA主题模型、词云、关联规则、社交网络分析；ROC、DCA决策曲线；Topsis、熵权法、层次分析综合评价；AI辅助建模、矢量高清图片导出；(响应文件中提供软件功能界面截图，张数不限，且截图中须反应此项功能要求；截图须为软件真实运行抓图，须为完整软件窗口界面）。</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14、环保要求：产品零部件及生产符合《电器电子产品有害物质限制使用管理办法》（令第32号）要求，投标人可提供有害物质检测报告或制造商出具符合性声明文件。</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15、售后服务要求</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提供原厂售后服务承诺函、产品彩页（加盖投标人公章）；整体产品质保3年，质保期每年提供不少于2次免费巡检服务、校准维护、软件调试服务，终身提供技术支持与软件升级指导。</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2</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金相试样磨抛机</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2</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top"/>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1、类型：双盘台式机，磨抛盘旋转方向可任意切换选择。</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2、控制系统采用微处理器控制，更换金相砂纸和抛光织物，可分别完成研磨、抛光工序操作。</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3、配备水冷却装置，研磨过程可对试样冷却，避免试样过热损伤金相组织。</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4、磨抛盘直径≥φ203mm；磨抛盘转速：0～1400r/min；磨抛盘支持顺时针、逆时针双向切换。</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5、整机外形尺寸≤755(W)×700(L)×310(H)mm；整机净重≥52kg。</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6、电源：AC220V，50Hz；电机额定功率≥0.75KW。</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7、配套配置：磨抛机主机1台、使用说明书1份、产品合格证1份；带胶金相砂纸（240#、400#、800#、1200#）各5片；带胶真丝抛光丝绒3片（同等性能合成丝绒均可）；W2.5金刚石悬浮研磨抛光液（500ml）1瓶。（投标人可提供性能不低于上述规格的同等替代耗材）。</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3</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金相试样切割机</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1、适用于金属、非金属试样切割取样，满足金相、岩相试样制备取样需求。</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2、内置冷却液冷却装置，切割过程可带走切削热量，防止试样过热造成金相组织烧伤。</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3、配备透明安全防护观察罩，可直观观察切割过程；配备操作手柄、控制按钮及急停安全按钮，具备安全保护功能。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4、主轴转速≥2800r/min；适配切割片规格φ250×1.5×25.4mm；最大切割直径≥φ60mm。</w:t>
            </w:r>
          </w:p>
          <w:p>
            <w:pPr>
              <w:numPr>
                <w:ilvl w:val="0"/>
                <w:numId w:val="0"/>
              </w:numPr>
              <w:jc w:val="both"/>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5、外壳采用优质冷轧钢板材质，结构坚固、耐腐蚀、抗形变；外壳漆膜耐湿热、板材硬度满足设备长期使用工况，符合对应国家通用标准要求。</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6、整机外形尺寸≤760 (W)×620 (H)×450 (D) mm；整机重量≥82Kg。</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7、电源：380V，50Hz；电机额定功率≥2.2KW。</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8、配套配置：金相试样切割机1台、使用说明书1份、产品合格证1份。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4</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金相试样镶嵌机</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1、人机交互：LCD显示屏，按键操作；可设置温度、时间、工作模式，配备启停按键；具备加热、保持、冷却、保压、欠压状态指示灯。</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2、机壳力学性能良好，机身轻便；配置手动手轮加压机构、压盖组件。</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3、工作模式：支持胶木粉、电玉粉、自定义三种制样模式；程序自动控制制样时间，自定义模式可自由设置制样时长。</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4、试样压制规格：支持Φ22mm、Φ30mm、Φ45mm三种规格试样模具，标准配置其中1套模具，模具可更换。</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5、温度控制：温控范围90℃～200℃，自定义模式可自由设置制样温度。</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6、电源：AC220V，50Hz；整机额定功率≤800W。</w:t>
            </w:r>
          </w:p>
          <w:p>
            <w:pPr>
              <w:numPr>
                <w:ilvl w:val="0"/>
                <w:numId w:val="0"/>
              </w:numPr>
              <w:jc w:val="both"/>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7、设备外罩采用ABS材质，具备良好耐热、抗冲击、耐腐蚀性能，机身安全耐用。</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8、整机外形尺寸≤440 (W)×253 (D)×310 (H) mm；整机净重≥32Kg（为本项目实训室安放最低参考，允许尺寸、重量更大设备）。</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9、配套配置：金相试样镶嵌机1台、使用说明书1份、产品合格证1份。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5</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维氏硬度计</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2</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设备适用于微小金属零部件、薄片、金属箔、工件硬化层、电镀层、氮化层、渗碳层的维氏、努氏硬度测试，同时支持珠宝、陶瓷、玻璃等非金属材料硬度检测；具备HV维氏、HK努氏两种测试模式；设备性能符合GB/T4340.2、ISO 6507-2、ASTM E384。</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2、具备自动转塔，可自动切换物镜、压头；支持目镜测微计测量后手动录入压痕对角线长度，设备自动完成硬度计算、数据存储、显示、打印、硬度换算功能。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3、具备外接计算机及图像分析软件拓展接口，可实现压痕图像采集、分析处理。</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4、支持维氏标尺：HV0.01、HV0.025、HV0.05、HV0.1、HV0.2、HV0.3、HV0.5、HV1；试验力覆盖：0.098N、0.2452N、0.4903N、0.9807N、1.961N、2.942N、4.904N、9.807N（10gf-1000gf）；通过手轮完成试验力选择，屏幕实时显示当前试验力。</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5、硬度值范围：5-3000HV,通过测微计上测量所得数据，将数据输入到硬度计即可得到相应硬度值；示值误差≤±5%HV。</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6、加载模式：自动完成加载-保荷-卸载；自动转塔；保荷时间1-60s可调，调节步长5s；支持HV/HK测试模式切换。</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7、允许试样最大高度≥110mm；压痕中心至机壁距离≥110mm。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8、光学系统：配置10×观察物镜、40×测量物镜；总放大倍率：观察100×、测量400×；目镜测微计分度值≤0.25μm；压痕测量范围0-200μm。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9、XY移动试台：台面尺寸≥100×100mm；有效行程≥25×25mm；位移分度值≤0.01mm。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10、照明光源支持PWM连续调光，供电12V，功率≥20W。</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11、电源AC220V，50Hz；整机功耗≤100W；具备5分钟无操作自动待机节能功能。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12、整机外形尺≤525(W)×330(D)×620(H)mm；整机重量≥36Kg。</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13、配套配置：显微维氏（努氏）硬度计1套、使用说明书1份、产品合格证1份。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6</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布氏硬度计</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2</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1、适用于铸铁、钢材、有色金属、软合金及部分非金属材料布氏硬度检测；设备性能符合GB/T231.1-2018、GB/T231.2-2022、JJG150-2005布氏硬度计检定规程。</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2、采用闭环测力控制系统，全自动完成加荷、保荷、卸荷全过程；保荷时间0-60s可调；配置手动/自动转塔机构。</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3、试验力档位：62.5kgf、100kgf、125kgf、187.5kgf、250kgf、500kgf、750kgf、1000kgf、1500kgf、3000kgf；对应力值：612.9N、980.7N、1226N、1839N、2452N、4903N、7355N、9807N、14710N、29420N。</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4、硬度测试范围：8-650HBW；LCD液晶数显直接读取硬度值，支持全标尺自动单位转换，具备软件硬度修正功能。</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5、支持φ2.5mm、φ5mm、φ10mm三种规格硬质合金球压头。</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6、读数镜放大倍率20×，物镜倍率1×；测微鼓轮最小分度值: 0.001mm。</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7、试件最大测试高度≥280mm；压头中心至机壁距离≥175mm，可适配大尺寸工件检测。</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8、测试数据可自动分组保存，每组可存储≥10条数据，整机存储≥1000条测试记录。</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9、支持设置硬度测试上下限，测试结果超设定范围自动报警提示。</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10、具备中文操作显示界面。</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11、电源：AC220V，50Hz。</w:t>
            </w:r>
          </w:p>
          <w:p>
            <w:pPr>
              <w:numPr>
                <w:ilvl w:val="0"/>
                <w:numId w:val="0"/>
              </w:numPr>
              <w:jc w:val="both"/>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12、整机外形尺寸≤560 (W)×270 (D)×920 (H) mm；主机重量≥165kg。</w:t>
            </w:r>
          </w:p>
          <w:p>
            <w:pPr>
              <w:numPr>
                <w:ilvl w:val="0"/>
                <w:numId w:val="0"/>
              </w:numPr>
              <w:ind w:left="0" w:leftChars="0" w:firstLine="0" w:firstLineChars="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13、配套配置：数显布氏硬度计1台、使用说明书1份、产品合格证1份。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7</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触摸屏简支梁冲击试验机</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3</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1、设备执行标准：设备整体性能满足GB/T1043.2-2018简支梁冲击试验相关标准，保障试验数据规范性、通用性。</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2、显示方式：彩色触摸屏（中英文）。</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3、配备角度编码器，精度到0.01°。</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4、能量显示精度：0.01J。</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5、冲击速度：2.9m/s。</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6、摆锤能量： 1J、2J、4J、5J。</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7、摆锤中心至试样中心距离≥230mm。</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8、摆锤扬角≥150°。</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9、钳口支承间距：40mm、60mm、70mm、95mm。</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10、支承刀刃圆角半径：R=1mm。</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11、冲击刀刃夹角：30°±l°。</w:t>
            </w:r>
          </w:p>
          <w:p>
            <w:pPr>
              <w:numPr>
                <w:ilvl w:val="0"/>
                <w:numId w:val="0"/>
              </w:numPr>
              <w:ind w:left="0" w:leftChars="0" w:firstLine="0" w:firstLineChars="0"/>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12、冲击刀刃圆角半径：。R=2mm±0.5mm。</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8</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超声C扫描系统</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套</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top"/>
          </w:tcPr>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lang w:val="en-US" w:eastAsia="zh-CN"/>
              </w:rPr>
              <w:t>1、超声主机参数：</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1.1. 增益范围：0～110dB</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1.2. 动态范围：＞100dB</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1.3. 脉冲重复频率：不小于10～20kHz</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1.4. 垂直线性：≤3%；水平线性：≤0.4%</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1.5. 工作方式：正负检波、全检波、射频</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2、C扫描软件：</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 扫查过程中自动显示缺陷图像，缺陷大小和形状一目了然。</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2.2. 自动计算复合材料的孔隙率（即：缺陷面积百分比）。</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2.3. 自动测量缺陷长度、面积或“手工笔”圈住缺陷测量缺陷长度、面积。</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2.4. 具备A/B/C/D扫描功能。</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2.5. 自动圈住缺陷并自动在缺陷位置注明缺陷编号。</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2.6. 自动缺陷报表：按面积从小到大的顺序排列缺陷。</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2.7. 支持信号的全波采集，即全息C扫描，记录全部数据完成后，可以后续进一步成像、计算分析。</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2.8. “超声CT”层析结果分析：实现层析扫描，清晰分析每层状况，每层切片可薄至0.1mm。</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2.9. 缺陷自动回位：鼠标选中缺陷位置后，探头自动移动到缺陷上方，便于进一步重新检测该位置、及标记缺陷位置。</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2.10. 具备系统增益、范围、延迟、工作方式、检波方式及闸门等参数独立调节功能。</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3、超声探头</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3.1.水浸聚焦探头，探头频率适合复合材料的水浸探伤检测</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3.2.探头的同轴线有屏蔽保护，具备抗电磁干扰能力。</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4、机械运动系统。</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5、运动轴数：≥3</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5.1. X轴：运动范围≥500mm；最大运动速度≥300mm/s；0～最大运动速度之间连续可调；定位精度≤±0.1mm；重复定位精度≤±0.05mm；返程间隙≤±0.05mm；分辨率≤0.05mm。</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5.2. Y轴：运动范围≥500mm；最大运动速度≥100mm/s；0～最大运动速度之间连续可调；定位精度≤±0.1mm；重复定位精度≤±0.05mm；返程间隙≤±0.05mm；分辨率≤0.05mm。</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5.3. Z轴：运动范围≥150mm；最大运动速度≥100mm/s；0～最大运动速度之间连续可调；定位精度≤±0.1mm；重复定位精度≤±0.05mm；返程间隙≤±0.05mm；分辨率≤0.05mm。</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5.4. 运动系统带有急停开关，以避免设置错误导致意外碰撞的发生。</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highlight w:val="none"/>
                <w:lang w:val="en-US" w:eastAsia="zh-CN"/>
              </w:rPr>
              <w:t>6、演示多目仪：</w:t>
            </w:r>
          </w:p>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6.1. 分为主拍摄像及侧拍摄像，支持Windows10/11及Android等操作系统。</w:t>
            </w:r>
          </w:p>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6.2. 主摄像：光学有效像素≥1600万；分辨率≥4656×3496；视觉分辨率≥1000TVL；具备良好白平衡、色彩还原能力，几何失真≤3.0%。</w:t>
            </w:r>
          </w:p>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6.3. 侧摄像：光学有效像素≥800万；分辨率≥3264×2448；视觉分辨率≥800TVL；具备良好白平衡、色彩还原能力，几何失真≤3.0%。</w:t>
            </w:r>
          </w:p>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6.4. 主体结构采用高强度冷轧钢板材质，结构稳固、抗形变，表面高温烤漆处理，耐磨耐腐蚀；盖板支持按压开合，底座配备配重块与防滑结构，运行稳定。</w:t>
            </w:r>
          </w:p>
          <w:p>
            <w:pPr>
              <w:numPr>
                <w:ilvl w:val="0"/>
                <w:numId w:val="0"/>
              </w:numPr>
              <w:jc w:val="left"/>
              <w:rPr>
                <w:rFonts w:hint="default" w:ascii="Times New Roman" w:hAnsi="Times New Roman" w:eastAsia="仿宋" w:cs="Times New Roman"/>
                <w:sz w:val="22"/>
                <w:szCs w:val="22"/>
                <w:highlight w:val="none"/>
                <w:lang w:val="en-US" w:eastAsia="zh-CN"/>
              </w:rPr>
            </w:pPr>
            <w:r>
              <w:rPr>
                <w:rFonts w:hint="default" w:ascii="Times New Roman" w:hAnsi="Times New Roman" w:eastAsia="仿宋" w:cs="Times New Roman"/>
                <w:sz w:val="22"/>
                <w:szCs w:val="22"/>
                <w:highlight w:val="none"/>
                <w:lang w:val="en-US" w:eastAsia="zh-CN"/>
              </w:rPr>
              <w:t>6.5. 演示多目仪设备漆膜附着力、耐冲击性能优良，符合国家相关标准，长期使用不易掉漆、破损。</w:t>
            </w:r>
          </w:p>
          <w:p>
            <w:pPr>
              <w:numPr>
                <w:ilvl w:val="0"/>
                <w:numId w:val="0"/>
              </w:numPr>
              <w:ind w:left="0" w:leftChars="0" w:firstLine="0" w:firstLineChars="0"/>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7、其它：水槽设计有进水口、出水口，满足水浸超声检测水循环使用。</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8、电汽控制系统：由运动控制器、驱动器组成。</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9、软件平台处理器综合性能不低于CoreI7、固态硬盘≥1TB、内存≥32GB，显示器尺寸≥24英寸。</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10、配置要求：超声C扫描系统1套、配套演示多目仪1套、使用说明书1份、合格证1份。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9</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数字超声波探伤仪</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3</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个</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top"/>
          </w:tcPr>
          <w:p>
            <w:pPr>
              <w:keepNext w:val="0"/>
              <w:keepLines w:val="0"/>
              <w:widowControl/>
              <w:suppressLineNumbers w:val="0"/>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1、用途：数字超声探伤仪适用于各类低碳钢、低合金钢、奥氏体不锈钢及部分高衰减金属或非金属材料的板材、焊接接头、锻件、铸件、管件等的内部缺陷的检测。</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2、功能和特点：</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 全中文轻触式键盘，操作过程全中文提示，兼容传统模拟探伤操作逻辑，操作上手便捷。</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2.2. 按键具备背光功能，可适应不同光照检测环境。</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2.3. 配备不少于20个独立探伤通道（通道数可自行扩展），可自定义设置各行业探伤工艺标准，现场探伤无需携带试块。</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2.4. 滤波频带可调，并具有射频显示，适用于各种工件的精确探伤。</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2.5. 可利用端点衍射波实现缺陷裂纹的自动测高。</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2.6. DAC曲线制做完成后，仪器自动生成10mm--70mm深度孔的波幅dB表，方便查询绘制波幅dB曲线。</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2.7. 探伤辅助功能强大，使用操作便捷，仪器设有四个快捷键可对常用功能（初始化、回波包络、峰值记忆、DAC门、深度补偿、实心波形、门内报警、数据处理、波形冻结）自行选择设置及排序。</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2.8. 数据处理能力强，大容量探伤数据存储，可按日期、工件编号和序号进行检索和处理、打印及计算机数据通讯和管理，可回到办公室打印探伤报告，检测报告全面规范。</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2.9. 仪器内置各行业探伤标准，具有GB/T11345-2013智能自动评定功能。</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2.10. 具备探头频谱分析功能，探头性能参数随时监测。</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2.11. 支持外接投影仪、显示器等设备投屏演示，可通过硬件视频接口或原厂配套软件实现投屏输出，无需额外第三方转换软件；配备SD卡存储模块，可本地保存各类探伤数据。</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2.12. 具有智能拼音输入法和数字输入法，可方便快捷的输入汉字或数字，便于工件信息录入及历史探伤数据检索。</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2.13. 仪器具有超声信号连续记录装置。</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3、主要技术指标：</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 频带范围：0.4—20MHz。</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3.2. 采样频率/位数：160MHz（硬件实时采样）。</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3.3. 探测范围：0—10000mm（钢中纵波）。</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3.4. 增益范围：120dB，0.1，1.0，2.0，6.0步进。</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3.5. 动态范围：≥40dB。</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3.6. 垂直线性：≤2%。</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3.7. 水平线性：≤0.1%。</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3.8. 分辨力：≥32dB。</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3.9. 灵敏度余量：≥65dB（200mm—Ф2平底孔，2.5P20）。</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3.10. 探头方式：单晶探头，双晶探头，穿透探头。</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3.11. 衰减精度：≤±1dB/20dB。</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3.12.语言：中、英文两种语言可自由切换。</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3.13. 闸门：进波门（直方门、DAC门）、失波门连续可调。</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3.14. 显示：5.7”TFT LCD，分辨率≥640×480。</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3.15. 电源：16V DC；220V AC高性能锂电池。</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3.16. 环境温度：（-20～50）℃。</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3.17. 工作时间：≥8小时（锂电池供电）。</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3.18. 整机重量：≤1.2kg(含锂电池，同等便携性能设备均可接受)。</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3.19. 通讯接口：配备USB、视频等效输出接口，可直连投影设备，无需第三方软件转换。</w:t>
            </w:r>
            <w:r>
              <w:rPr>
                <w:rFonts w:hint="default" w:ascii="Times New Roman" w:hAnsi="Times New Roman" w:eastAsia="仿宋" w:cs="Times New Roman"/>
                <w:sz w:val="22"/>
                <w:szCs w:val="22"/>
                <w:lang w:val="en-US" w:eastAsia="zh-CN"/>
              </w:rPr>
              <w:br w:type="textWrapping"/>
            </w:r>
            <w:r>
              <w:rPr>
                <w:rFonts w:hint="default" w:ascii="Times New Roman" w:hAnsi="Times New Roman" w:eastAsia="仿宋" w:cs="Times New Roman"/>
                <w:sz w:val="22"/>
                <w:szCs w:val="22"/>
                <w:lang w:val="en-US" w:eastAsia="zh-CN"/>
              </w:rPr>
              <w:t>4、配置：主机1台、16V四芯适配器1只、操作手册1本、签收单1份、合格证1份、直探头1只、斜探头1只、探头线(Q9-Q9)2根、仪器包1只、仪器箱1只、SD卡及读卡器1套、通讯线1根</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10</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旋转粘度计</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2</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top"/>
          </w:tcPr>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1、适用于油脂、油漆、塑料、药物、食品、涂料、洗涤剂等各类流体牛顿型液体绝对粘度、非牛顿型液体表观粘度检测。</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2、交互界面：LCD蓝背光显示屏，可同步显示粘度数值与样品实时温度；支持中文/英文操作界面切换；具备测量读数稳定状态提示功能。</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3、具备定时测量、定时参数修改、自动测温功能；可选配RS232通讯接口、打印接口。</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4、测量范围：可测1~1×10⁵mPa.s流体；标配1-4号转子，选配0号转子最低可测≤0.1mPa.s低粘度液体。</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5、测量精度：针对牛顿液体，测量精度可达±1%。</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6、转子转速6、12、30、60转/分；搭载自动档位，可自动匹配适配转子与转速。</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7、电源要求：交流 220V AC/50Hz。</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8、工作环境：适用环境温度5℃~35℃，环境相对湿度≤80%。</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9、整机结构紧凑，适配常规实验台面摆放；整机净重≤6.8kg。</w:t>
            </w:r>
          </w:p>
          <w:p>
            <w:pPr>
              <w:numPr>
                <w:ilvl w:val="0"/>
                <w:numId w:val="0"/>
              </w:numPr>
              <w:ind w:left="0" w:leftChars="0" w:firstLine="0" w:firstLineChars="0"/>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10、配置要求：主机1台、1、2、3、4号转子1套、电源适配器1套、保护架1只、底座1只、升降立柱1套、使用说明书1本、合格证1张、保修单1张、内六角板头1只、呆扳手1只、温度探头1支。</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11</w:t>
            </w:r>
          </w:p>
        </w:tc>
        <w:tc>
          <w:tcPr>
            <w:tcW w:w="104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电子天平</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4</w:t>
            </w:r>
          </w:p>
        </w:tc>
        <w:tc>
          <w:tcPr>
            <w:tcW w:w="673"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台</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top"/>
          </w:tcPr>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1、人机交互：采用LCD液晶显示屏，快捷图标按键导航,按键输入。</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2、传感器类型：电磁力平衡式传感器。</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3、称量单位：克(g)、克拉(Ct)、盎司(oz)、英镑(lb)等等单位自由切换。</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4、称量模式：包含不限于基本称重、百分比称重、计数称重。</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5、内置RS232双向通讯接口，可实现电脑、微型打印机的连接。</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6、最大量程：≥2200g；分度值(d)：≤10mg；重复性误差：≤±10mg；线性误差：≤±20mg</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7、典型稳定时间：≤2.5秒；校准方式：外校。</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8、秤盘材质：不锈钢；秤盘尺寸≥165×170mm。</w:t>
            </w:r>
          </w:p>
          <w:p>
            <w:pPr>
              <w:numPr>
                <w:ilvl w:val="0"/>
                <w:numId w:val="0"/>
              </w:numPr>
              <w:jc w:val="left"/>
              <w:rPr>
                <w:rFonts w:hint="default" w:ascii="Times New Roman" w:hAnsi="Times New Roman" w:eastAsia="仿宋" w:cs="Times New Roman"/>
                <w:sz w:val="22"/>
                <w:szCs w:val="22"/>
                <w:lang w:val="en-US" w:eastAsia="zh-CN"/>
              </w:rPr>
            </w:pPr>
            <w:r>
              <w:rPr>
                <w:rFonts w:hint="default" w:ascii="Times New Roman" w:hAnsi="Times New Roman" w:eastAsia="仿宋" w:cs="Times New Roman"/>
                <w:sz w:val="22"/>
                <w:szCs w:val="22"/>
                <w:lang w:val="en-US" w:eastAsia="zh-CN"/>
              </w:rPr>
              <w:t>9、工作电源：输入220V AC/50HZ；输出12V DC/2A</w:t>
            </w:r>
          </w:p>
          <w:p>
            <w:pPr>
              <w:numPr>
                <w:ilvl w:val="0"/>
                <w:numId w:val="0"/>
              </w:numPr>
              <w:ind w:left="0" w:leftChars="0" w:firstLine="0" w:firstLineChars="0"/>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10、配置要求：电子天平1台、砝码1个、电源1个、说明书1份、合格证1份。</w:t>
            </w:r>
          </w:p>
        </w:tc>
        <w:tc>
          <w:tcPr>
            <w:tcW w:w="708"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numPr>
                <w:ilvl w:val="0"/>
                <w:numId w:val="0"/>
              </w:numPr>
              <w:ind w:left="0" w:leftChars="0" w:firstLine="0" w:firstLineChars="0"/>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Calibri"/>
                <w:kern w:val="0"/>
                <w:szCs w:val="21"/>
                <w:lang w:val="en-US" w:eastAsia="zh-CN"/>
              </w:rPr>
            </w:pP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val="en-US" w:eastAsia="zh-CN"/>
              </w:rPr>
              <w:t>2</w:t>
            </w:r>
          </w:p>
        </w:tc>
        <w:tc>
          <w:tcPr>
            <w:tcW w:w="10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r>
              <w:rPr>
                <w:rFonts w:hint="default" w:ascii="Times New Roman" w:hAnsi="Times New Roman" w:eastAsia="仿宋" w:cs="Times New Roman"/>
                <w:sz w:val="22"/>
                <w:szCs w:val="22"/>
              </w:rPr>
              <w:t>工业级手持式三维扫描仪</w:t>
            </w:r>
          </w:p>
        </w:tc>
        <w:tc>
          <w:tcPr>
            <w:tcW w:w="673"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kern w:val="0"/>
                <w:szCs w:val="21"/>
                <w:lang w:val="en-US" w:eastAsia="zh-CN"/>
              </w:rPr>
            </w:pPr>
            <w:r>
              <w:rPr>
                <w:rFonts w:hint="default" w:ascii="Times New Roman" w:hAnsi="Times New Roman" w:eastAsia="仿宋" w:cs="Times New Roman"/>
                <w:sz w:val="22"/>
                <w:szCs w:val="22"/>
              </w:rPr>
              <w:t>1</w:t>
            </w:r>
          </w:p>
        </w:tc>
        <w:tc>
          <w:tcPr>
            <w:tcW w:w="673"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kern w:val="0"/>
                <w:szCs w:val="21"/>
                <w:lang w:val="en-US" w:eastAsia="zh-CN"/>
              </w:rPr>
            </w:pPr>
            <w:r>
              <w:rPr>
                <w:rFonts w:hint="default" w:ascii="Times New Roman" w:hAnsi="Times New Roman" w:eastAsia="仿宋" w:cs="Times New Roman"/>
                <w:sz w:val="22"/>
                <w:szCs w:val="22"/>
              </w:rPr>
              <w:t>套</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设备包含激光扫描仪、扫描软件、移动数据处理器等，能对机械零部件、模具等进行扫描，获取工件的三维点云数据，与扫描工件的CAD模型对齐拟合后进行三维检测，或将点云数据用于逆向设计。</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1、两种工作模式：</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1.1. </w:t>
            </w:r>
            <w:r>
              <w:rPr>
                <w:rFonts w:hint="default" w:ascii="Times New Roman" w:hAnsi="Times New Roman" w:eastAsia="仿宋" w:cs="Times New Roman"/>
                <w:sz w:val="22"/>
                <w:szCs w:val="22"/>
              </w:rPr>
              <w:t>激光高速扫描模式；</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1.2. </w:t>
            </w:r>
            <w:r>
              <w:rPr>
                <w:rFonts w:hint="default" w:ascii="Times New Roman" w:hAnsi="Times New Roman" w:eastAsia="仿宋" w:cs="Times New Roman"/>
                <w:sz w:val="22"/>
                <w:szCs w:val="22"/>
              </w:rPr>
              <w:t>激光深孔扫描模式；1.设备功能要求：设备包含激光扫描仪、扫描软件、移动数据处理器等，能对机械零部件、模具等进行扫描，获取工件的三维点云数据，与扫描工件的CAD模型对齐拟合后进行三维检测，或将点云数据用于逆向设计。</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2、设备参数要求</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蓝色激光线总数量≥30束，具备多线交叉扫描、平行扫描、单束激光深孔扫描能力，满足高速、精细、深孔三维扫描需求；</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2.2</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结构形式：两个高分辨率的图像采集单元及多个激光发射器；</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2.3</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三种工作模式：</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（1）高速扫描模式；</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（2）超精细扫描模式；</w:t>
            </w:r>
          </w:p>
          <w:p>
            <w:pPr>
              <w:widowControl/>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（3）单束蓝色激光深孔扫描模式；</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（4）以上工作模式可以通过扫描仪按钮实时切换，且各种模式下的数据均在同一坐标系中，无需后期拼接；</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2.4</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扫描时物体及设备均可移动，无需固定且不影响扫描精度；</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2.5</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目标点能自动定位，不需要借助额外机械臂、三脚架或其他跟踪设备；</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2.6</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扫描仪本体重量：≤0.7kg；</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2.7</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设备外壳采用一体化航空铝合金或者同等强度和散热性能的材质；整机采用被动式散热设计，运行安静无噪音，可支持长时间连续稳定扫描工作；</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2.8</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设备外形尺寸：≤205 mm×80 mm×45 mm；</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2.9</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声光提示功能：仪器本体具备指示灯提醒功能，能根据设备的角度和位置距离发出提醒；</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2.10</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双相机结构，相机间距满足整机小型化、高精度三维扫描使用要求；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2.11</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快速标定：具备快速标定校准功能，标定时间小于一分钟；</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2.12</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扫描速率：≥2,800,000次测量/秒；</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2.13</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分辨率：≤0.02mm；</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2.14</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扫描基准距及景深：扫描基准距≥300mm，扫描景深≥550mm；</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2.15</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单幅最大扫描面幅：≥700mm×600mm；</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2.16</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扫描精度≤0.020mm；体积精度≤0.015mm+0.035mm/m，无需借助任何外部设备可达到上述体积精度；</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2.17</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扫描软件功能要求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（1）具备新建工程、保存、设置、读取等系列功能，对应的数据格式主要包括工程格式、标记点格式、点云格式和三角网格面格式；</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（2）三维数据自动生成STL三角网格面，可以直接在扫描软件上对STL数据进行简化、开流形、细化和去除特征等操作；</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（3）具备点云/面片处理功能，包括：网格优化、工程文件合并、数据裁剪、自动删除杂点、自动选取并删除非连接项、删除钉状物、松弛、网格优化、去除特征、细化网格、手动填补孔洞和开流形等功能；</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（4）具备设置扫描点间距、实时调整激光强度、变化和调整扫描视角等功能；</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（5）具备手动填补孔洞功能，软件可以根据周围曲率手动选择填补孔洞；</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（6）点云或者网格面智能简化：软件可以根据扫描数据特征和曲率调节不同位置的点云或者网格面疏密，在确保最优扫描质量的状态下生成最小的数据量；</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（7）具有框选精扫描模式：扫描过程中可以框选指定区域，使得该区域内的三维数据分辨率优于区域外数据，即同一组数据中存在不同分辨率，且扫描过程中实时可调；</w:t>
            </w:r>
            <w:r>
              <w:rPr>
                <w:rFonts w:hint="default" w:ascii="Times New Roman" w:hAnsi="Times New Roman" w:eastAsia="仿宋" w:cs="Times New Roman"/>
                <w:sz w:val="22"/>
                <w:szCs w:val="22"/>
              </w:rPr>
              <w:br w:type="textWrapping"/>
            </w:r>
            <w:r>
              <w:rPr>
                <w:rFonts w:hint="default" w:ascii="Times New Roman" w:hAnsi="Times New Roman" w:eastAsia="仿宋" w:cs="Times New Roman"/>
                <w:sz w:val="22"/>
                <w:szCs w:val="22"/>
              </w:rPr>
              <w:t>（8）具有多个扫描工程文件自动合并功能，扫描软件可以通过公共标记点自动对齐两个独立且坐标系不同的扫描数据；</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（9）兼容主流三维测量分析软件接口，可一键导入点云数据开展检测比对；</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（10）配套手机端软件，并具备同步显示功能，能显示设备编号、固件版本、数据管理、激光线类型、扫描模式、左右反转、点密度/曝光度、校准等功能；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（11）软件许可终身有效，并提供软件10年免费维护及升级服务。</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2.18</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比对测量软件要求</w:t>
            </w:r>
          </w:p>
          <w:p>
            <w:pPr>
              <w:keepNext w:val="0"/>
              <w:keepLines w:val="0"/>
              <w:pageBreakBefore w:val="0"/>
              <w:widowControl w:val="0"/>
              <w:kinsoku/>
              <w:wordWrap w:val="0"/>
              <w:overflowPunct/>
              <w:topLinePunct w:val="0"/>
              <w:autoSpaceDE/>
              <w:autoSpaceDN/>
              <w:bidi w:val="0"/>
              <w:adjustRightInd/>
              <w:snapToGrid/>
              <w:jc w:val="left"/>
              <w:textAlignment w:val="auto"/>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（1）支持打开或保存.asc、.igs、.txt、.stl、.ply、.stp、.step等格式文件；</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（2）具备点云/面片处理功能，包括：网格优化、工程文件合并、数据裁剪、自动删除杂点、自动选取并删除非连接项、删除钉状物、松弛、网格优化、去除特征、细化网格、手动填补孔洞和开流形等功能；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（3）具备将三维数据自动生成STL三角网格面功能，可对STL数据进行简化、开流形、细化和去除特征等操作；</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（4）软件具备数据对齐功能，支持最佳拟合对齐、N点对齐、特征对齐、PLP对齐、RPS对齐、对齐到全局、校准原点；</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（5）支持以网格数据作为参考数据进行检测分析；</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（6）软件具备特征构建功能，包含圆、槽、矩形、多义线、点、直线、平面、球体、圆柱、圆锥；</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（7）软件具备3D比较、截面、创建注释、编辑色谱等检测功能；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（8）软件具备设置偏差点功能；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（9）软件支持公差评价：包含圆度、直线度、平面度、圆柱度、球度、平行度、垂直度、同轴度等；</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（10）软件具备创建报告功能，支持导出包含注释点的PDF文件；</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（11）软件许可终身有效，并提供软件10年免费维护及升级服务。</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3、</w:t>
            </w:r>
            <w:r>
              <w:rPr>
                <w:rFonts w:hint="default" w:ascii="Times New Roman" w:hAnsi="Times New Roman" w:eastAsia="仿宋" w:cs="Times New Roman"/>
                <w:sz w:val="22"/>
                <w:szCs w:val="22"/>
              </w:rPr>
              <w:t>逆向工程技术综合实训课程资源（电子文件）</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3.1. </w:t>
            </w:r>
            <w:r>
              <w:rPr>
                <w:rFonts w:hint="default" w:ascii="Times New Roman" w:hAnsi="Times New Roman" w:eastAsia="仿宋" w:cs="Times New Roman"/>
                <w:sz w:val="22"/>
                <w:szCs w:val="22"/>
              </w:rPr>
              <w:t>校本教材和配套教学演示文稿（PPT）内容要求：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（1）</w:t>
            </w:r>
            <w:r>
              <w:rPr>
                <w:rFonts w:hint="default" w:ascii="Times New Roman" w:hAnsi="Times New Roman" w:eastAsia="仿宋" w:cs="Times New Roman"/>
                <w:sz w:val="22"/>
                <w:szCs w:val="22"/>
              </w:rPr>
              <w:t>逆向工程技术概述：逆向工程的本质、逆向工程的应用、逆向工程的装备、如何学好逆向工程技术；</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（2）</w:t>
            </w:r>
            <w:r>
              <w:rPr>
                <w:rFonts w:hint="default" w:ascii="Times New Roman" w:hAnsi="Times New Roman" w:eastAsia="仿宋" w:cs="Times New Roman"/>
                <w:sz w:val="22"/>
                <w:szCs w:val="22"/>
              </w:rPr>
              <w:t>玩具类逆向工程技术、雕塑工艺品逆向工程技术、生活用品逆向工程、工业产品逆向工程、综合实例（基础案例）、综合实例（进阶案例）：以上内容均含行业特点分析、案例简介、逆向分析、软硬件选配、常用功能指令、产品测绘、数据处理、建模实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3.2. </w:t>
            </w:r>
            <w:r>
              <w:rPr>
                <w:rFonts w:hint="default" w:ascii="Times New Roman" w:hAnsi="Times New Roman" w:eastAsia="仿宋" w:cs="Times New Roman"/>
                <w:sz w:val="22"/>
                <w:szCs w:val="22"/>
              </w:rPr>
              <w:t>逆向工程造型技术教学案例要求</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包含但不限于以下案例（每个案例均含逆向造型视频、PRT格式数据、PPT教学课件）：轴类零件的造型、托架零件的造型、端盖零件的造型、箱体类零件造型、吊钩零件的造型、涡旋部件零件的造型、家电类零件的造型、车身曲面的造型、车灯类零件的造型等。</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3.3. </w:t>
            </w:r>
            <w:r>
              <w:rPr>
                <w:rFonts w:hint="default" w:ascii="Times New Roman" w:hAnsi="Times New Roman" w:eastAsia="仿宋" w:cs="Times New Roman"/>
                <w:sz w:val="22"/>
                <w:szCs w:val="22"/>
              </w:rPr>
              <w:t>至少包含以下动画或视频</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工程制图实例、草图绘制实例、实体建模实例、曲面建模实例、装配实例、基于UG的运动与结构分析、通用件设计变更与光学面增厚处理、助动车后备箱上盖、车头大灯反射镜逆向建模、生活用具建模动画、果渣桶建模动画、蒸蛋机底座建模、玩偶类建模、轴套类零件建模、泵体类零件建模、齿轮泵建模、齿轮类零件建模、生活休闲用具建模、咖啡机网箱外壳主体建模、清洁设备外壳建模、剃须刀外壳建模。</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3.4. </w:t>
            </w:r>
            <w:r>
              <w:rPr>
                <w:rFonts w:hint="default" w:ascii="Times New Roman" w:hAnsi="Times New Roman" w:eastAsia="仿宋" w:cs="Times New Roman"/>
                <w:sz w:val="22"/>
                <w:szCs w:val="22"/>
              </w:rPr>
              <w:t>教学微课要求：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（1）</w:t>
            </w:r>
            <w:r>
              <w:rPr>
                <w:rFonts w:hint="default" w:ascii="Times New Roman" w:hAnsi="Times New Roman" w:eastAsia="仿宋" w:cs="Times New Roman"/>
                <w:sz w:val="22"/>
                <w:szCs w:val="22"/>
              </w:rPr>
              <w:t>内容与校本教材配套；格式：MP4或swf；分辨率：640*480以上（4：3）或者1280*720（16：9）；码率：1M以上；</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（2）</w:t>
            </w:r>
            <w:r>
              <w:rPr>
                <w:rFonts w:hint="default" w:ascii="Times New Roman" w:hAnsi="Times New Roman" w:eastAsia="仿宋" w:cs="Times New Roman"/>
                <w:sz w:val="22"/>
                <w:szCs w:val="22"/>
              </w:rPr>
              <w:t>包括以下内容：创建方块、实体补片、边缘补片、产品坐标的定制方法、扩大曲面、替换实体、设计区域、分型之定义区域、分型之曲面补片、创建分型面、模架设计、模板开框设计、定位圈和浇口套设计、创建分流道、创建潜伏式浇口等教学微课；</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（3）</w:t>
            </w:r>
            <w:r>
              <w:rPr>
                <w:rFonts w:hint="default" w:ascii="Times New Roman" w:hAnsi="Times New Roman" w:eastAsia="仿宋" w:cs="Times New Roman"/>
                <w:sz w:val="22"/>
                <w:szCs w:val="22"/>
              </w:rPr>
              <w:t>包括数据初始对齐及最佳拟合对齐；曲面的3D比较及比较点色布分析；数据初始对齐及最佳拟合对齐；2D比较截面的色布分析；2D尺寸测量（平行度、垂直度、角度等、位置度、对称度、长度、直径、角度、直线度、圆度等）；3D尺寸测量（长度、直径、角度等）；检测报告生成及输出等。</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3.5. </w:t>
            </w:r>
            <w:r>
              <w:rPr>
                <w:rFonts w:hint="default" w:ascii="Times New Roman" w:hAnsi="Times New Roman" w:eastAsia="仿宋" w:cs="Times New Roman"/>
                <w:sz w:val="22"/>
                <w:szCs w:val="22"/>
              </w:rPr>
              <w:t>试题库要求：包含填空题、选择题、判断题及问答题等；题量≥200题；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 xml:space="preserve">3.6. </w:t>
            </w:r>
            <w:r>
              <w:rPr>
                <w:rFonts w:hint="default" w:ascii="Times New Roman" w:hAnsi="Times New Roman" w:eastAsia="仿宋" w:cs="Times New Roman"/>
                <w:sz w:val="22"/>
                <w:szCs w:val="22"/>
              </w:rPr>
              <w:t>逆向视频教学系统（电子文件）：提供不少于2个主流逆向造型软件的全视频教学内容，需讲述逆向造型的原则、方法、思路、技巧和步骤，并带有不少于4个工程实例模块。</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4、</w:t>
            </w:r>
            <w:r>
              <w:rPr>
                <w:rFonts w:hint="default" w:ascii="Times New Roman" w:hAnsi="Times New Roman" w:eastAsia="仿宋" w:cs="Times New Roman"/>
                <w:sz w:val="22"/>
                <w:szCs w:val="22"/>
              </w:rPr>
              <w:t>设备配置要求：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lang w:val="en-US" w:eastAsia="zh-CN"/>
              </w:rPr>
              <w:t>4</w:t>
            </w: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三维数据处理器</w:t>
            </w:r>
            <w:r>
              <w:rPr>
                <w:rFonts w:hint="default" w:ascii="Times New Roman" w:hAnsi="Times New Roman" w:eastAsia="仿宋" w:cs="Times New Roman"/>
                <w:sz w:val="22"/>
                <w:szCs w:val="22"/>
                <w:lang w:val="en-US" w:eastAsia="zh-CN"/>
              </w:rPr>
              <w:t xml:space="preserve">综合性能不低于Intel </w:t>
            </w:r>
            <w:r>
              <w:rPr>
                <w:rFonts w:hint="default" w:ascii="Times New Roman" w:hAnsi="Times New Roman" w:eastAsia="仿宋" w:cs="Times New Roman"/>
                <w:sz w:val="22"/>
                <w:szCs w:val="22"/>
              </w:rPr>
              <w:t>12代I7处理器、运行内存≥32G，独立显卡显存≥6G、显示器≥15寸、固态硬盘≥1T。</w:t>
            </w:r>
          </w:p>
          <w:p>
            <w:pPr>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lang w:val="en-US" w:eastAsia="zh-CN"/>
              </w:rPr>
              <w:t>4</w:t>
            </w:r>
            <w:r>
              <w:rPr>
                <w:rFonts w:hint="default" w:ascii="Times New Roman" w:hAnsi="Times New Roman" w:eastAsia="仿宋" w:cs="Times New Roman"/>
                <w:sz w:val="22"/>
                <w:szCs w:val="22"/>
              </w:rPr>
              <w:t>.2</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校准板1块、6mm反光标记点4000个、3mm反光标记点1000个、防水箱1个。</w:t>
            </w:r>
          </w:p>
        </w:tc>
        <w:tc>
          <w:tcPr>
            <w:tcW w:w="708" w:type="dxa"/>
            <w:tcBorders>
              <w:top w:val="single" w:color="auto" w:sz="6" w:space="0"/>
              <w:left w:val="single" w:color="auto" w:sz="6" w:space="0"/>
              <w:bottom w:val="single" w:color="auto" w:sz="6" w:space="0"/>
              <w:right w:val="single" w:color="auto" w:sz="6" w:space="0"/>
            </w:tcBorders>
            <w:vAlign w:val="center"/>
          </w:tcPr>
          <w:p>
            <w:pPr>
              <w:jc w:val="center"/>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13</w:t>
            </w:r>
          </w:p>
        </w:tc>
        <w:tc>
          <w:tcPr>
            <w:tcW w:w="1040" w:type="dxa"/>
            <w:tcBorders>
              <w:top w:val="single" w:color="auto" w:sz="6" w:space="0"/>
              <w:left w:val="single" w:color="auto" w:sz="6" w:space="0"/>
              <w:bottom w:val="single" w:color="auto" w:sz="6" w:space="0"/>
              <w:right w:val="single" w:color="auto" w:sz="6" w:space="0"/>
            </w:tcBorders>
            <w:vAlign w:val="center"/>
          </w:tcPr>
          <w:p>
            <w:pPr>
              <w:jc w:val="both"/>
              <w:rPr>
                <w:rFonts w:ascii="宋体" w:hAnsi="宋体" w:eastAsia="宋体" w:cs="宋体"/>
                <w:kern w:val="0"/>
                <w:szCs w:val="21"/>
              </w:rPr>
            </w:pPr>
            <w:r>
              <w:rPr>
                <w:rFonts w:hint="default" w:ascii="Times New Roman" w:hAnsi="Times New Roman" w:eastAsia="仿宋" w:cs="Times New Roman"/>
                <w:sz w:val="22"/>
                <w:szCs w:val="22"/>
              </w:rPr>
              <w:t>实训室环境配置改造</w:t>
            </w:r>
          </w:p>
        </w:tc>
        <w:tc>
          <w:tcPr>
            <w:tcW w:w="673"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w:t>
            </w:r>
          </w:p>
        </w:tc>
        <w:tc>
          <w:tcPr>
            <w:tcW w:w="673"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项</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1、地面自流平地坪</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面积≥70㎡</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1.1基层处理：清场保护，机械打磨除浮浆、油污、旧涂层；空鼓裂缝修补，吸尘清理。</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1.2环氧封闭底漆：滚涂封闭基层，增强附着力，固化吸尘。1.3环氧砂浆中涂：加石英砂镘批找平，固化后打磨吸尘。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1.4环氧腻子中涂：满批腻子封堵砂眼针孔，轻磨吸尘。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1.5无溶剂环氧自流平面漆：材料配比搅拌，倾倒镘涂，钉鞋施工、消泡滚筒排气，自流成型。</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2、顶面铝方通吊顶</w:t>
            </w:r>
            <w:r>
              <w:rPr>
                <w:rFonts w:hint="eastAsia" w:ascii="Times New Roman" w:hAnsi="Times New Roman" w:eastAsia="仿宋" w:cs="Times New Roman"/>
                <w:sz w:val="22"/>
                <w:szCs w:val="22"/>
                <w:lang w:eastAsia="zh-CN"/>
              </w:rPr>
              <w:t>：</w:t>
            </w:r>
            <w:r>
              <w:rPr>
                <w:rFonts w:hint="default" w:ascii="Times New Roman" w:hAnsi="Times New Roman" w:eastAsia="仿宋" w:cs="Times New Roman"/>
                <w:sz w:val="22"/>
                <w:szCs w:val="22"/>
              </w:rPr>
              <w:t>面积≥70㎡</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2.1基层清理放线：清理顶面杂物，弹标高控制线、龙骨分格线，精准定位施工点位。</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2.2吊杆安装：吊杆间距≤1200mm；按间距打孔固定膨胀螺栓，安装防锈吊杆、调平高度。</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2.3主龙骨安装调平：主龙骨间距≤1200mm；安装轻钢主龙骨，校正水平、间距，固定牢固无松动。</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2.4副龙骨、横撑龙骨安装：拼接安装副龙骨及横撑龙骨，形成完整吊顶骨架，保证平整方正。</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2.5铝方通安装：铝方通预留伸缩缝；规整铺设铝方通，对缝对齐、平整贴合，无翘边、无松动。吊顶骨架牢固，表面平整，通缝顺直。</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2.6需符合现场实际情况要求。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3、电路改造</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3.1定位放线：根据教室灯具、插座、开关布局，精准弹线定位点位与线路走向。</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3.2开槽剔槽：墙面、地面规范开槽，槽体平整，清理槽内渣土灰尘。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3.3管线敷设：铺设PVC阻燃线管、底盒，固定牢固，弯头顺畅，做好管口防护。</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3.4穿线接线：国标电线穿管布设，分色布线，规范压接接线，杜绝虚接、错接。</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3.5设备安装：安装开关、插座、灯具、空开配电箱等配套电气设备。</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3.6测试验收：通电检测通断、绝缘、漏电保护，调试正常，清理现场收尾。</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4、开关面板及灯具</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4.1前期核查：检查预留管线、底盒通畅情况，清理盒内杂物灰尘，核对点位标高。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4.2线路预处理：整理预留电线，规范分色、剥线，检测线路通断及绝缘情况。</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4.3开关面板安装：规范接线压接，固定底盒面板，调平校正，保证平整牢固、缝隙均匀。</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4.4灯具安装固定：固定灯具底座，规范接线， 安装教室专用照明灯具，调平摆正。</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4.5通电调试：逐点位通电测试开关、灯具功能，排查闪烁、失灵等问题。</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4.6需符合现场实际情况要求。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5、文化及安全标识标牌布设</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5.1点位定位：根据现场布局及规范要求，确定标识标牌安装位置、高度，弹线定位。</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5.2基层处理：清理安装位置墙面浮灰、污渍，平整基层，保证安装面干净牢固。</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5.3打孔固定：按标牌尺寸打孔、安装膨胀固件，平整固定底座，确保受力牢固。</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5.4标识安装：安装文化、安全标识标牌，调平对齐，缝隙均匀、端正牢固。</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5.5清洁收尾：清理标牌及周边污渍、残胶，检查安装质量，整体验收合格。</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5.6需符合现场实际情况要求。</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6、拆除</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6.1原门拆除；</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6.2灯具拆除；</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6.3风扇拆除；</w:t>
            </w:r>
          </w:p>
          <w:p>
            <w:pPr>
              <w:jc w:val="both"/>
              <w:rPr>
                <w:rFonts w:hint="eastAsia" w:ascii="Times New Roman" w:hAnsi="Times New Roman" w:eastAsia="仿宋" w:cs="Times New Roman"/>
                <w:sz w:val="22"/>
                <w:szCs w:val="22"/>
                <w:lang w:eastAsia="zh-CN"/>
              </w:rPr>
            </w:pPr>
            <w:r>
              <w:rPr>
                <w:rFonts w:hint="default" w:ascii="Times New Roman" w:hAnsi="Times New Roman" w:eastAsia="仿宋" w:cs="Times New Roman"/>
                <w:sz w:val="22"/>
                <w:szCs w:val="22"/>
              </w:rPr>
              <w:t>6.4投影等零星拆除</w:t>
            </w:r>
            <w:r>
              <w:rPr>
                <w:rFonts w:hint="eastAsia" w:ascii="Times New Roman" w:hAnsi="Times New Roman" w:eastAsia="仿宋" w:cs="Times New Roman"/>
                <w:sz w:val="22"/>
                <w:szCs w:val="22"/>
                <w:lang w:eastAsia="zh-CN"/>
              </w:rPr>
              <w:t>。</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7、给排水安装</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7.1定位、开槽；</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7.2.PPR给水管安装；</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7.3.PVC排水管安装；</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7.4.测试；</w:t>
            </w:r>
          </w:p>
          <w:p>
            <w:pPr>
              <w:jc w:val="both"/>
              <w:rPr>
                <w:rFonts w:hint="default" w:ascii="Times New Roman" w:hAnsi="Times New Roman" w:eastAsia="仿宋" w:cs="Times New Roman"/>
                <w:sz w:val="22"/>
                <w:szCs w:val="22"/>
              </w:rPr>
            </w:pPr>
            <w:r>
              <w:rPr>
                <w:rFonts w:hint="default" w:ascii="Times New Roman" w:hAnsi="Times New Roman" w:eastAsia="仿宋" w:cs="Times New Roman"/>
                <w:sz w:val="22"/>
                <w:szCs w:val="22"/>
              </w:rPr>
              <w:t>7.5.需符合现场实际情况要求。</w:t>
            </w:r>
          </w:p>
          <w:p>
            <w:pPr>
              <w:jc w:val="both"/>
              <w:rPr>
                <w:rFonts w:hint="eastAsia" w:ascii="Times New Roman" w:hAnsi="Times New Roman" w:eastAsia="仿宋" w:cs="Times New Roman"/>
                <w:sz w:val="22"/>
                <w:szCs w:val="22"/>
                <w:lang w:eastAsia="zh-CN"/>
              </w:rPr>
            </w:pPr>
            <w:r>
              <w:rPr>
                <w:rFonts w:hint="default" w:ascii="Times New Roman" w:hAnsi="Times New Roman" w:eastAsia="仿宋" w:cs="Times New Roman"/>
                <w:sz w:val="22"/>
                <w:szCs w:val="22"/>
              </w:rPr>
              <w:t>8、密码铝合金门：2樘，门洞≥1.0m×2.1m（投标人须自行踏勘现场核实实际尺寸），型材壁厚≥1.2mm，含智能锁，支持密码/指纹/刷卡≥2种，锁芯≥C级，符合国家相关标准</w:t>
            </w:r>
            <w:r>
              <w:rPr>
                <w:rFonts w:hint="eastAsia" w:ascii="Times New Roman" w:hAnsi="Times New Roman" w:eastAsia="仿宋" w:cs="Times New Roman"/>
                <w:sz w:val="22"/>
                <w:szCs w:val="22"/>
                <w:lang w:eastAsia="zh-CN"/>
              </w:rPr>
              <w:t>。</w:t>
            </w:r>
          </w:p>
          <w:p>
            <w:pPr>
              <w:jc w:val="both"/>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rPr>
              <w:t>9、</w:t>
            </w:r>
            <w:r>
              <w:rPr>
                <w:rFonts w:hint="eastAsia" w:ascii="仿宋" w:hAnsi="仿宋" w:eastAsia="仿宋" w:cs="仿宋"/>
                <w:sz w:val="22"/>
              </w:rPr>
              <w:t>空调设备：</w:t>
            </w:r>
            <w:r>
              <w:rPr>
                <w:rFonts w:hint="default" w:ascii="Times New Roman" w:hAnsi="Times New Roman" w:eastAsia="仿宋" w:cs="Times New Roman"/>
                <w:sz w:val="22"/>
                <w:szCs w:val="22"/>
              </w:rPr>
              <w:t>2台，3匹变频柜机，制冷量≥7200W、制热量≥8000W，能效≥二级，符合GB 21455-2019，含标准安装辅材；须提供有效期内节能产品认证证书，否则无效响应</w:t>
            </w:r>
            <w:r>
              <w:rPr>
                <w:rFonts w:hint="eastAsia" w:ascii="Times New Roman" w:hAnsi="Times New Roman" w:eastAsia="仿宋" w:cs="Times New Roman"/>
                <w:sz w:val="22"/>
                <w:szCs w:val="22"/>
                <w:lang w:eastAsia="zh-CN"/>
              </w:rPr>
              <w:t>。</w:t>
            </w:r>
          </w:p>
        </w:tc>
        <w:tc>
          <w:tcPr>
            <w:tcW w:w="708" w:type="dxa"/>
            <w:tcBorders>
              <w:top w:val="single" w:color="auto" w:sz="6" w:space="0"/>
              <w:left w:val="single" w:color="auto" w:sz="6" w:space="0"/>
              <w:bottom w:val="single" w:color="auto" w:sz="6" w:space="0"/>
              <w:right w:val="single" w:color="auto" w:sz="6" w:space="0"/>
            </w:tcBorders>
            <w:vAlign w:val="center"/>
          </w:tcPr>
          <w:p>
            <w:pPr>
              <w:jc w:val="both"/>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both"/>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both"/>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14</w:t>
            </w:r>
          </w:p>
        </w:tc>
        <w:tc>
          <w:tcPr>
            <w:tcW w:w="1040"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试验中央台</w:t>
            </w:r>
          </w:p>
        </w:tc>
        <w:tc>
          <w:tcPr>
            <w:tcW w:w="673"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15</w:t>
            </w:r>
          </w:p>
        </w:tc>
        <w:tc>
          <w:tcPr>
            <w:tcW w:w="673"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米</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钢木结构。</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台面：采用优质双面膜实芯理化板台面，整体耐腐蚀、耐酸碱、耐冲击，台面边缘采用同质材料加厚强化处理，经CNC精密机械加工，结构平整牢固，满足长期实训使用要求。需满足以下技术要求：</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通过硫酸（98%）、磷酸（85%）、氢氟酸（48%）、乙基苯、异丁醇等不少于140项酸、碱及其它化学试剂的检验结果为5级：无明显变化。</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2.2.</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检测参照GB 18584-2024《家具中有害物质限量》标准，铅、镉、铬、汞、锑、钡、硒、砷检测结果均≤0.1mg/kg。</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2.3.</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甲醛释放量按照GB/T 39600-2021《人造板及其制品甲醛释放量分级》标准检测，满足E0级技术要求，检验结果为≤0.005mg/m³；</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2.4.</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燃烧性能项目检测符合GB 8624-2012标准，达到B1（C-s1,d0,t1）级，烟气毒性等级为ZA3级；检测依据GB/T 2408-2021标准水平燃烧符合HB级、垂直燃符合V-0级。</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2.5.</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依据QB/T 2761-2024《室内空气净化产品净化效果测定方法》标准，提供甲醛去除率≥50%、甲苯去除率≥16%检测报告。</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2.6.</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台面板依据GB/T 17657-2022标准及其他相关标准方法检测，结果为：静曲强度≥145Mpa；弹性模量≥10450Mpa；含水率：≤1.3%；24h吸水率≤0.2%；密度≥1.43g/cm3；耐臭氧（72h）：外观无明显变化；尺寸稳定性：纵向与横向≤0.03%；漆膜附着力：六级：切割边缘完全平滑，网格内无脱落；漆膜硬度＞9H；表面耐划痕性能：4.5N作用下，试件表面无大于90%的连续划痕；表面耐龟裂性能：5级：表面无裂纹；耐高温性能：表面无裂纹；表面耐耐干热性能：5级：无明显变化；表面耐湿热性能：5级：无明显变化；耐沸水性能：质量增加百分率≤0.01%、厚度增加百分率≤0.06%，表面质量等级：5级：无变化，边缘质量等级：5级：无明显变化；表面耐冷热循环：表面无裂纹及鼓泡；抗冲击性能（冲击高度1m）：4.7-5.1mm；表面耐磨性能≥1150r，未出现磨损；弯曲强度≥140Mpa；弯曲弹性模量≥8330Mpa。</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2.7.</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依据《建筑材料放射性核素限量》GB 6566-2010标准进行检测，放射性核素限量≤0.1。</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2.8.</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防霉性能：霉菌生长情况0级，抗菌性：不少于15种的菌种检测结果抗菌率&gt;99.99%。</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2.9.</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台面参照GB/T16422.2-2022标准进行580小时以上氙灯老化试验，检测结果为样品无变色、发粘、裂纹等异常，等级为5级。</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2.10.</w:t>
            </w:r>
            <w:r>
              <w:rPr>
                <w:rFonts w:hint="default" w:ascii="Times New Roman" w:hAnsi="Times New Roman" w:eastAsia="仿宋" w:cs="Times New Roman"/>
                <w:sz w:val="22"/>
                <w:szCs w:val="22"/>
                <w:lang w:val="en-US" w:eastAsia="zh-CN"/>
              </w:rPr>
              <w:t xml:space="preserve"> </w:t>
            </w:r>
            <w:r>
              <w:rPr>
                <w:rFonts w:hint="default" w:ascii="Times New Roman" w:hAnsi="Times New Roman" w:eastAsia="仿宋" w:cs="Times New Roman"/>
                <w:sz w:val="22"/>
                <w:szCs w:val="22"/>
              </w:rPr>
              <w:t>产品完全满足上述2.1～2.9全部技术指标要求，中标后提供对应检测佐证资料。</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柜体：采用优质E1级三聚氰胺饰面刨花板，板材厚度满足结构承重要求，配备PVC防水封边；钢架采用优质镀锌钢管焊接成型，管壁厚度满足整体承重、抗形变要求，表面环氧树脂粉末静电喷涂、高温固化处理，耐划、耐酸碱、耐腐蚀；背板采用优质中纤板，结构稳固。</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配件：横梁、C型架、工字型架、下托料采用优质钢制型材，规格、壁厚满足设备承重与结构稳定性要求；钢架采用PP连接件，地脚采用螺杆与工程塑料一体注塑成型，高度可调节，适配场地找平；金属外框环氧树脂静电喷涂高温固化，附着力强、耐划防腐；柜体采用三合一连接结构，配备三节静音滑轨、优质铰链、PP一字拉手，开合顺畅、静音耐用。</w:t>
            </w:r>
          </w:p>
          <w:p>
            <w:pPr>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rPr>
              <w:t>5</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安装要求：包含台面、插座、试剂架及线路安装及辅材。</w:t>
            </w:r>
          </w:p>
        </w:tc>
        <w:tc>
          <w:tcPr>
            <w:tcW w:w="708" w:type="dxa"/>
            <w:tcBorders>
              <w:top w:val="single" w:color="auto" w:sz="6" w:space="0"/>
              <w:left w:val="single" w:color="auto" w:sz="6" w:space="0"/>
              <w:bottom w:val="single" w:color="auto" w:sz="6" w:space="0"/>
              <w:right w:val="single" w:color="auto" w:sz="6" w:space="0"/>
            </w:tcBorders>
            <w:vAlign w:val="center"/>
          </w:tcPr>
          <w:p>
            <w:pPr>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15</w:t>
            </w:r>
          </w:p>
        </w:tc>
        <w:tc>
          <w:tcPr>
            <w:tcW w:w="1040"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r>
              <w:rPr>
                <w:rFonts w:hint="default" w:ascii="Times New Roman" w:hAnsi="Times New Roman" w:eastAsia="仿宋" w:cs="Times New Roman"/>
                <w:sz w:val="22"/>
                <w:szCs w:val="22"/>
                <w:lang w:val="en-US" w:eastAsia="zh-CN"/>
              </w:rPr>
              <w:t>实验边台</w:t>
            </w:r>
          </w:p>
        </w:tc>
        <w:tc>
          <w:tcPr>
            <w:tcW w:w="673"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9</w:t>
            </w:r>
          </w:p>
        </w:tc>
        <w:tc>
          <w:tcPr>
            <w:tcW w:w="673" w:type="dxa"/>
            <w:tcBorders>
              <w:top w:val="single" w:color="auto" w:sz="6" w:space="0"/>
              <w:left w:val="single" w:color="auto" w:sz="6" w:space="0"/>
              <w:bottom w:val="single" w:color="auto" w:sz="6" w:space="0"/>
              <w:right w:val="single" w:color="auto" w:sz="6" w:space="0"/>
            </w:tcBorders>
            <w:vAlign w:val="center"/>
          </w:tcPr>
          <w:p>
            <w:pPr>
              <w:jc w:val="left"/>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米</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钢木结构。</w:t>
            </w:r>
          </w:p>
          <w:p>
            <w:pPr>
              <w:jc w:val="left"/>
              <w:rPr>
                <w:rFonts w:hint="default" w:ascii="Times New Roman" w:hAnsi="Times New Roman" w:eastAsia="仿宋" w:cs="Times New Roman"/>
                <w:sz w:val="22"/>
                <w:szCs w:val="22"/>
                <w:lang w:eastAsia="zh-CN"/>
              </w:rPr>
            </w:pPr>
            <w:r>
              <w:rPr>
                <w:rFonts w:hint="default" w:ascii="Times New Roman" w:hAnsi="Times New Roman" w:eastAsia="仿宋" w:cs="Times New Roman"/>
                <w:sz w:val="22"/>
                <w:szCs w:val="22"/>
              </w:rPr>
              <w:t>2</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台面：采用优质双面膜实芯理化板台面，整体耐腐蚀、耐酸碱、耐冲击，台面边缘采用同质材料加厚强化处理，经CNC精密机械加工，结构平整牢固，满足长期实训使用要求。</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柜体：</w:t>
            </w:r>
            <w:r>
              <w:rPr>
                <w:rFonts w:hint="default" w:ascii="Times New Roman" w:hAnsi="Times New Roman" w:eastAsia="仿宋" w:cs="Times New Roman"/>
                <w:sz w:val="22"/>
                <w:szCs w:val="22"/>
                <w:lang w:eastAsia="zh-CN"/>
              </w:rPr>
              <w:t>采用优质E1级三聚氰胺饰面刨花板，板材厚度满足结构承重要求，配备PVC防水封边；钢架采用优质镀锌钢管焊接成型，管壁厚度满足整体承重、抗形变要求，表面环氧树脂粉末静电喷涂、高温固化处理，耐划、耐酸碱、耐腐蚀；背板采用优质中纤板，结构稳固。</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配件：</w:t>
            </w:r>
            <w:r>
              <w:rPr>
                <w:rFonts w:hint="default" w:ascii="Times New Roman" w:hAnsi="Times New Roman" w:eastAsia="仿宋" w:cs="Times New Roman"/>
                <w:sz w:val="22"/>
                <w:szCs w:val="22"/>
                <w:lang w:eastAsia="zh-CN"/>
              </w:rPr>
              <w:t>横梁、C型架、工字型架、下托料采用优质钢制型材，规格、壁厚满足设备承重与结构稳定性要求；钢架采用PP连接件，地脚采用螺杆与工程塑料一体注塑成型，高度可调节，适配场地找平；金属外框环氧树脂静电喷涂高温固化，附着力强、耐划防腐；柜体采用三合一连接结构，配备三节静音滑轨、优质铰链、PP一字拉手，开合顺畅、静音耐用</w:t>
            </w:r>
            <w:r>
              <w:rPr>
                <w:rFonts w:hint="default" w:ascii="Times New Roman" w:hAnsi="Times New Roman" w:eastAsia="仿宋" w:cs="Times New Roman"/>
                <w:sz w:val="22"/>
                <w:szCs w:val="22"/>
              </w:rPr>
              <w:t>。</w:t>
            </w:r>
          </w:p>
          <w:p>
            <w:pPr>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rPr>
              <w:t>5</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安装要求：包含台面、插座、试剂架</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线路安装及辅材。</w:t>
            </w:r>
          </w:p>
        </w:tc>
        <w:tc>
          <w:tcPr>
            <w:tcW w:w="708" w:type="dxa"/>
            <w:tcBorders>
              <w:top w:val="single" w:color="auto" w:sz="6" w:space="0"/>
              <w:left w:val="single" w:color="auto" w:sz="6" w:space="0"/>
              <w:bottom w:val="single" w:color="auto" w:sz="6" w:space="0"/>
              <w:right w:val="single" w:color="auto" w:sz="6" w:space="0"/>
            </w:tcBorders>
            <w:vAlign w:val="center"/>
          </w:tcPr>
          <w:p>
            <w:pPr>
              <w:jc w:val="left"/>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left"/>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2936"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16</w:t>
            </w:r>
          </w:p>
        </w:tc>
        <w:tc>
          <w:tcPr>
            <w:tcW w:w="10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r>
              <w:rPr>
                <w:rFonts w:hint="default" w:ascii="Times New Roman" w:hAnsi="Times New Roman" w:eastAsia="仿宋" w:cs="Times New Roman"/>
                <w:sz w:val="22"/>
                <w:szCs w:val="22"/>
                <w:lang w:val="en-US" w:eastAsia="zh-CN"/>
              </w:rPr>
              <w:t>储物柜</w:t>
            </w:r>
          </w:p>
        </w:tc>
        <w:tc>
          <w:tcPr>
            <w:tcW w:w="673"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3</w:t>
            </w:r>
          </w:p>
        </w:tc>
        <w:tc>
          <w:tcPr>
            <w:tcW w:w="673"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个</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材质：采用加厚冷轧钢板、带加强筋结构，表面静电粉末喷塑，整体结构坚固、承重性强、耐腐蚀耐磨。</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结构：5层，可调节。</w:t>
            </w:r>
          </w:p>
          <w:p>
            <w:pPr>
              <w:jc w:val="left"/>
              <w:rPr>
                <w:rFonts w:hint="default" w:ascii="Times New Roman" w:hAnsi="Times New Roman" w:eastAsia="仿宋" w:cs="Times New Roman"/>
                <w:sz w:val="22"/>
                <w:szCs w:val="22"/>
                <w:lang w:eastAsia="zh-CN"/>
              </w:rPr>
            </w:pPr>
            <w:r>
              <w:rPr>
                <w:rFonts w:hint="default" w:ascii="Times New Roman" w:hAnsi="Times New Roman" w:eastAsia="仿宋" w:cs="Times New Roman"/>
                <w:sz w:val="22"/>
                <w:szCs w:val="22"/>
              </w:rPr>
              <w:t>3</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规格尺寸：≥长1000*宽500*高1800mm</w:t>
            </w:r>
            <w:r>
              <w:rPr>
                <w:rFonts w:hint="default" w:ascii="Times New Roman" w:hAnsi="Times New Roman" w:eastAsia="仿宋" w:cs="Times New Roman"/>
                <w:sz w:val="22"/>
                <w:szCs w:val="22"/>
                <w:lang w:eastAsia="zh-CN"/>
              </w:rPr>
              <w:t>。</w:t>
            </w:r>
          </w:p>
          <w:p>
            <w:pPr>
              <w:jc w:val="left"/>
              <w:rPr>
                <w:rFonts w:hint="default" w:ascii="Times New Roman" w:hAnsi="Times New Roman" w:eastAsia="仿宋" w:cs="Times New Roman"/>
                <w:sz w:val="22"/>
                <w:szCs w:val="22"/>
                <w:lang w:eastAsia="zh-CN"/>
              </w:rPr>
            </w:pPr>
            <w:r>
              <w:rPr>
                <w:rFonts w:hint="default" w:ascii="Times New Roman" w:hAnsi="Times New Roman" w:eastAsia="仿宋" w:cs="Times New Roman"/>
                <w:sz w:val="22"/>
                <w:szCs w:val="22"/>
              </w:rPr>
              <w:t>4</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承重：≥110KG</w:t>
            </w:r>
            <w:r>
              <w:rPr>
                <w:rFonts w:hint="default" w:ascii="Times New Roman" w:hAnsi="Times New Roman" w:eastAsia="仿宋" w:cs="Times New Roman"/>
                <w:sz w:val="22"/>
                <w:szCs w:val="22"/>
                <w:lang w:eastAsia="zh-CN"/>
              </w:rPr>
              <w:t>。</w:t>
            </w:r>
          </w:p>
          <w:p>
            <w:pPr>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rPr>
              <w:t>5</w:t>
            </w:r>
            <w:r>
              <w:rPr>
                <w:rFonts w:hint="default" w:ascii="Times New Roman" w:hAnsi="Times New Roman" w:eastAsia="仿宋" w:cs="Times New Roman"/>
                <w:sz w:val="22"/>
                <w:szCs w:val="22"/>
                <w:lang w:eastAsia="zh-CN"/>
              </w:rPr>
              <w:t>、</w:t>
            </w:r>
            <w:r>
              <w:rPr>
                <w:rFonts w:hint="default" w:ascii="Times New Roman" w:hAnsi="Times New Roman" w:eastAsia="仿宋" w:cs="Times New Roman"/>
                <w:sz w:val="22"/>
                <w:szCs w:val="22"/>
              </w:rPr>
              <w:t>配置：低音滑轨、铜芯天地锁、方孔挂板、层板托架（可调节）</w:t>
            </w:r>
            <w:r>
              <w:rPr>
                <w:rFonts w:hint="default" w:ascii="Times New Roman" w:hAnsi="Times New Roman" w:eastAsia="仿宋" w:cs="Times New Roman"/>
                <w:sz w:val="22"/>
                <w:szCs w:val="22"/>
                <w:lang w:eastAsia="zh-CN"/>
              </w:rPr>
              <w:t>。</w:t>
            </w:r>
          </w:p>
        </w:tc>
        <w:tc>
          <w:tcPr>
            <w:tcW w:w="708" w:type="dxa"/>
            <w:tcBorders>
              <w:top w:val="single" w:color="auto" w:sz="6" w:space="0"/>
              <w:left w:val="single" w:color="auto" w:sz="6" w:space="0"/>
              <w:bottom w:val="single" w:color="auto" w:sz="6" w:space="0"/>
              <w:right w:val="single" w:color="auto" w:sz="6" w:space="0"/>
            </w:tcBorders>
            <w:vAlign w:val="center"/>
          </w:tcPr>
          <w:p>
            <w:pPr>
              <w:jc w:val="both"/>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both"/>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p>
        </w:tc>
      </w:tr>
      <w:tr>
        <w:tblPrEx>
          <w:tblLayout w:type="fixed"/>
          <w:tblCellMar>
            <w:top w:w="0" w:type="dxa"/>
            <w:left w:w="108" w:type="dxa"/>
            <w:bottom w:w="0" w:type="dxa"/>
            <w:right w:w="108" w:type="dxa"/>
          </w:tblCellMar>
        </w:tblPrEx>
        <w:trPr>
          <w:trHeight w:val="449" w:hRule="atLeast"/>
          <w:jc w:val="center"/>
        </w:trPr>
        <w:tc>
          <w:tcPr>
            <w:tcW w:w="678"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Calibri"/>
                <w:kern w:val="0"/>
                <w:szCs w:val="21"/>
                <w:lang w:val="en-US" w:eastAsia="zh-CN"/>
              </w:rPr>
            </w:pPr>
            <w:r>
              <w:rPr>
                <w:rFonts w:hint="default" w:ascii="Times New Roman" w:hAnsi="Times New Roman" w:eastAsia="仿宋" w:cs="Times New Roman"/>
                <w:sz w:val="22"/>
                <w:szCs w:val="22"/>
                <w:lang w:val="en-US" w:eastAsia="zh-CN"/>
              </w:rPr>
              <w:t>17</w:t>
            </w:r>
          </w:p>
        </w:tc>
        <w:tc>
          <w:tcPr>
            <w:tcW w:w="1040" w:type="dxa"/>
            <w:tcBorders>
              <w:top w:val="single" w:color="auto" w:sz="6" w:space="0"/>
              <w:left w:val="single" w:color="auto" w:sz="6" w:space="0"/>
              <w:bottom w:val="single" w:color="auto" w:sz="6" w:space="0"/>
              <w:right w:val="single" w:color="auto" w:sz="6" w:space="0"/>
            </w:tcBorders>
            <w:vAlign w:val="center"/>
          </w:tcPr>
          <w:p>
            <w:pPr>
              <w:jc w:val="center"/>
              <w:rPr>
                <w:rFonts w:ascii="宋体" w:hAnsi="宋体" w:eastAsia="宋体" w:cs="宋体"/>
                <w:kern w:val="0"/>
                <w:szCs w:val="21"/>
              </w:rPr>
            </w:pPr>
            <w:r>
              <w:rPr>
                <w:rFonts w:hint="default" w:ascii="Times New Roman" w:hAnsi="Times New Roman" w:eastAsia="仿宋" w:cs="Times New Roman"/>
                <w:sz w:val="22"/>
                <w:szCs w:val="22"/>
                <w:lang w:val="en-US" w:eastAsia="zh-CN"/>
              </w:rPr>
              <w:t>实验凳</w:t>
            </w:r>
          </w:p>
        </w:tc>
        <w:tc>
          <w:tcPr>
            <w:tcW w:w="673"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50</w:t>
            </w:r>
          </w:p>
        </w:tc>
        <w:tc>
          <w:tcPr>
            <w:tcW w:w="673" w:type="dxa"/>
            <w:tcBorders>
              <w:top w:val="single" w:color="auto" w:sz="6" w:space="0"/>
              <w:left w:val="single" w:color="auto" w:sz="6" w:space="0"/>
              <w:bottom w:val="single" w:color="auto" w:sz="6" w:space="0"/>
              <w:right w:val="single" w:color="auto" w:sz="6" w:space="0"/>
            </w:tcBorders>
            <w:vAlign w:val="center"/>
          </w:tcPr>
          <w:p>
            <w:pPr>
              <w:jc w:val="both"/>
              <w:rPr>
                <w:rFonts w:hint="eastAsia" w:ascii="宋体" w:hAnsi="宋体" w:eastAsia="宋体" w:cs="宋体"/>
                <w:kern w:val="0"/>
                <w:szCs w:val="21"/>
                <w:lang w:val="en-US" w:eastAsia="zh-CN"/>
              </w:rPr>
            </w:pPr>
            <w:r>
              <w:rPr>
                <w:rFonts w:hint="default" w:ascii="Times New Roman" w:hAnsi="Times New Roman" w:eastAsia="仿宋" w:cs="Times New Roman"/>
                <w:sz w:val="22"/>
                <w:szCs w:val="22"/>
                <w:lang w:val="en-US" w:eastAsia="zh-CN"/>
              </w:rPr>
              <w:t>个</w:t>
            </w:r>
          </w:p>
        </w:tc>
        <w:tc>
          <w:tcPr>
            <w:tcW w:w="5208" w:type="dxa"/>
            <w:tcBorders>
              <w:top w:val="single" w:color="auto" w:sz="6" w:space="0"/>
              <w:left w:val="single" w:color="auto" w:sz="6" w:space="0"/>
              <w:bottom w:val="single" w:color="auto" w:sz="6" w:space="0"/>
              <w:right w:val="single" w:color="auto" w:sz="6" w:space="0"/>
            </w:tcBorders>
            <w:shd w:val="clear" w:color="auto" w:fill="auto"/>
            <w:vAlign w:val="center"/>
          </w:tcPr>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1、凳面直径≥300mm；</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2、凳面采用不锈钢凳面；</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3、五星脚采用优质不锈钢圆管，管径、壁厚满足整体承重、结构稳定要求；</w:t>
            </w:r>
          </w:p>
          <w:p>
            <w:pPr>
              <w:jc w:val="left"/>
              <w:rPr>
                <w:rFonts w:hint="default" w:ascii="Times New Roman" w:hAnsi="Times New Roman" w:eastAsia="仿宋" w:cs="Times New Roman"/>
                <w:sz w:val="22"/>
                <w:szCs w:val="22"/>
              </w:rPr>
            </w:pPr>
            <w:r>
              <w:rPr>
                <w:rFonts w:hint="default" w:ascii="Times New Roman" w:hAnsi="Times New Roman" w:eastAsia="仿宋" w:cs="Times New Roman"/>
                <w:sz w:val="22"/>
                <w:szCs w:val="22"/>
              </w:rPr>
              <w:t>4、高度升降范围:450~550mm；</w:t>
            </w:r>
          </w:p>
          <w:p>
            <w:pPr>
              <w:jc w:val="left"/>
              <w:rPr>
                <w:rFonts w:hint="default" w:ascii="Times New Roman" w:hAnsi="Times New Roman" w:eastAsia="仿宋" w:cs="Times New Roman"/>
                <w:kern w:val="2"/>
                <w:sz w:val="22"/>
                <w:szCs w:val="22"/>
                <w:lang w:val="en-US" w:eastAsia="zh-CN" w:bidi="ar-SA"/>
              </w:rPr>
            </w:pPr>
            <w:r>
              <w:rPr>
                <w:rFonts w:hint="default" w:ascii="Times New Roman" w:hAnsi="Times New Roman" w:eastAsia="仿宋" w:cs="Times New Roman"/>
                <w:sz w:val="22"/>
                <w:szCs w:val="22"/>
              </w:rPr>
              <w:t>5、采用螺旋杆升降，升降稳定，不左右摆动。</w:t>
            </w:r>
          </w:p>
        </w:tc>
        <w:tc>
          <w:tcPr>
            <w:tcW w:w="708" w:type="dxa"/>
            <w:tcBorders>
              <w:top w:val="single" w:color="auto" w:sz="6" w:space="0"/>
              <w:left w:val="single" w:color="auto" w:sz="6" w:space="0"/>
              <w:bottom w:val="single" w:color="auto" w:sz="6" w:space="0"/>
              <w:right w:val="single" w:color="auto" w:sz="6" w:space="0"/>
            </w:tcBorders>
            <w:vAlign w:val="center"/>
          </w:tcPr>
          <w:p>
            <w:pPr>
              <w:jc w:val="both"/>
              <w:rPr>
                <w:rFonts w:hint="default" w:ascii="宋体" w:hAnsi="宋体" w:eastAsia="宋体" w:cs="宋体"/>
                <w:kern w:val="0"/>
                <w:szCs w:val="21"/>
                <w:lang w:val="en-US" w:eastAsia="zh-CN"/>
              </w:rPr>
            </w:pPr>
          </w:p>
        </w:tc>
        <w:tc>
          <w:tcPr>
            <w:tcW w:w="780" w:type="dxa"/>
            <w:tcBorders>
              <w:top w:val="single" w:color="auto" w:sz="6" w:space="0"/>
              <w:left w:val="single" w:color="auto" w:sz="6" w:space="0"/>
              <w:bottom w:val="single" w:color="auto" w:sz="6" w:space="0"/>
              <w:right w:val="single" w:color="auto" w:sz="6" w:space="0"/>
            </w:tcBorders>
            <w:vAlign w:val="center"/>
          </w:tcPr>
          <w:p>
            <w:pPr>
              <w:jc w:val="both"/>
              <w:rPr>
                <w:rFonts w:ascii="宋体" w:hAnsi="宋体" w:eastAsia="宋体" w:cs="宋体"/>
                <w:kern w:val="0"/>
                <w:szCs w:val="21"/>
              </w:rPr>
            </w:pPr>
          </w:p>
        </w:tc>
        <w:tc>
          <w:tcPr>
            <w:tcW w:w="939" w:type="dxa"/>
            <w:tcBorders>
              <w:top w:val="single" w:color="auto" w:sz="6" w:space="0"/>
              <w:left w:val="single" w:color="auto" w:sz="6" w:space="0"/>
              <w:bottom w:val="single" w:color="auto" w:sz="6" w:space="0"/>
              <w:right w:val="single" w:color="auto" w:sz="6" w:space="0"/>
            </w:tcBorders>
            <w:vAlign w:val="center"/>
          </w:tcPr>
          <w:p>
            <w:pPr>
              <w:jc w:val="center"/>
              <w:rPr>
                <w:rFonts w:hint="eastAsia" w:ascii="宋体" w:hAnsi="宋体" w:eastAsia="宋体" w:cs="宋体"/>
                <w:kern w:val="0"/>
                <w:szCs w:val="21"/>
                <w:lang w:val="en-US" w:eastAsia="zh-CN"/>
              </w:rPr>
            </w:pPr>
          </w:p>
        </w:tc>
      </w:tr>
      <w:tr>
        <w:tblPrEx>
          <w:tblLayout w:type="fixed"/>
          <w:tblCellMar>
            <w:top w:w="0" w:type="dxa"/>
            <w:left w:w="108" w:type="dxa"/>
            <w:bottom w:w="0" w:type="dxa"/>
            <w:right w:w="108" w:type="dxa"/>
          </w:tblCellMar>
        </w:tblPrEx>
        <w:trPr>
          <w:trHeight w:val="436" w:hRule="atLeast"/>
          <w:jc w:val="center"/>
        </w:trPr>
        <w:tc>
          <w:tcPr>
            <w:tcW w:w="678" w:type="dxa"/>
            <w:tcBorders>
              <w:top w:val="single" w:color="auto" w:sz="6" w:space="0"/>
              <w:left w:val="single" w:color="auto" w:sz="6" w:space="0"/>
              <w:bottom w:val="single" w:color="auto" w:sz="6" w:space="0"/>
              <w:right w:val="nil"/>
            </w:tcBorders>
            <w:vAlign w:val="center"/>
          </w:tcPr>
          <w:p>
            <w:pPr>
              <w:wordWrap w:val="0"/>
              <w:autoSpaceDE w:val="0"/>
              <w:autoSpaceDN w:val="0"/>
              <w:adjustRightInd w:val="0"/>
              <w:jc w:val="righ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合</w:t>
            </w:r>
          </w:p>
        </w:tc>
        <w:tc>
          <w:tcPr>
            <w:tcW w:w="1040" w:type="dxa"/>
            <w:tcBorders>
              <w:top w:val="single" w:color="auto" w:sz="6" w:space="0"/>
              <w:left w:val="nil"/>
              <w:bottom w:val="single" w:color="auto" w:sz="6" w:space="0"/>
              <w:right w:val="single" w:color="auto" w:sz="6" w:space="0"/>
            </w:tcBorders>
            <w:vAlign w:val="center"/>
          </w:tcPr>
          <w:p>
            <w:pPr>
              <w:autoSpaceDE w:val="0"/>
              <w:autoSpaceDN w:val="0"/>
              <w:adjustRightInd w:val="0"/>
              <w:jc w:val="right"/>
              <w:rPr>
                <w:rFonts w:ascii="宋体" w:hAnsi="宋体" w:eastAsia="宋体" w:cs="宋体"/>
                <w:kern w:val="0"/>
                <w:szCs w:val="21"/>
              </w:rPr>
            </w:pPr>
            <w:r>
              <w:rPr>
                <w:rFonts w:hint="eastAsia" w:ascii="宋体" w:hAnsi="宋体" w:eastAsia="宋体" w:cs="宋体"/>
                <w:kern w:val="0"/>
                <w:szCs w:val="21"/>
              </w:rPr>
              <w:t>计</w:t>
            </w:r>
          </w:p>
        </w:tc>
        <w:tc>
          <w:tcPr>
            <w:tcW w:w="8981" w:type="dxa"/>
            <w:gridSpan w:val="6"/>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both"/>
              <w:rPr>
                <w:rFonts w:hint="eastAsia" w:ascii="宋体" w:hAnsi="宋体" w:eastAsia="宋体" w:cs="宋体"/>
                <w:kern w:val="0"/>
                <w:szCs w:val="21"/>
                <w:lang w:eastAsia="zh-CN"/>
              </w:rPr>
            </w:pPr>
            <w:r>
              <w:rPr>
                <w:rFonts w:hint="eastAsia" w:ascii="宋体" w:hAnsi="宋体" w:eastAsia="宋体" w:cs="宋体"/>
                <w:kern w:val="0"/>
                <w:szCs w:val="21"/>
              </w:rPr>
              <w:t>小写：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元、</w:t>
            </w:r>
            <w:r>
              <w:rPr>
                <w:rFonts w:ascii="宋体" w:hAnsi="宋体" w:eastAsia="宋体" w:cs="宋体"/>
                <w:kern w:val="0"/>
                <w:szCs w:val="21"/>
              </w:rPr>
              <w:t xml:space="preserve"> </w:t>
            </w:r>
            <w:r>
              <w:rPr>
                <w:rFonts w:hint="eastAsia" w:ascii="宋体" w:hAnsi="宋体" w:eastAsia="宋体" w:cs="宋体"/>
                <w:kern w:val="0"/>
                <w:szCs w:val="21"/>
              </w:rPr>
              <w:t>大写：</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lang w:eastAsia="zh-CN"/>
              </w:rPr>
              <w:t>元整</w:t>
            </w:r>
          </w:p>
        </w:tc>
      </w:tr>
    </w:tbl>
    <w:p>
      <w:pPr>
        <w:jc w:val="center"/>
        <w:rPr>
          <w:rFonts w:ascii="黑体" w:hAnsi="黑体" w:eastAsia="黑体" w:cs="Times New Roman"/>
          <w:sz w:val="36"/>
          <w:szCs w:val="36"/>
        </w:rPr>
      </w:pPr>
    </w:p>
    <w:tbl>
      <w:tblPr>
        <w:tblStyle w:val="34"/>
        <w:tblW w:w="10704" w:type="dxa"/>
        <w:tblInd w:w="-3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2172"/>
        <w:gridCol w:w="8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Ex>
        <w:trPr>
          <w:trHeight w:val="363" w:hRule="atLeast"/>
        </w:trPr>
        <w:tc>
          <w:tcPr>
            <w:tcW w:w="10704" w:type="dxa"/>
            <w:gridSpan w:val="2"/>
            <w:shd w:val="clear" w:color="auto" w:fill="FFFFFF"/>
          </w:tcPr>
          <w:p>
            <w:pPr>
              <w:jc w:val="center"/>
              <w:rPr>
                <w:rFonts w:ascii="黑体" w:hAnsi="黑体" w:eastAsia="黑体" w:cs="Times New Roman"/>
                <w:sz w:val="28"/>
                <w:szCs w:val="28"/>
              </w:rPr>
            </w:pPr>
            <w:r>
              <w:rPr>
                <w:rFonts w:hint="eastAsia" w:ascii="黑体" w:hAnsi="黑体" w:eastAsia="黑体" w:cs="Times New Roman"/>
                <w:sz w:val="28"/>
                <w:szCs w:val="28"/>
                <w:lang w:eastAsia="zh-CN"/>
              </w:rPr>
              <w:t>二</w:t>
            </w:r>
            <w:r>
              <w:rPr>
                <w:rFonts w:hint="eastAsia" w:ascii="黑体" w:hAnsi="黑体" w:eastAsia="黑体" w:cs="Times New Roman"/>
                <w:sz w:val="28"/>
                <w:szCs w:val="28"/>
              </w:rPr>
              <w:t>、商务要求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72" w:type="dxa"/>
            <w:shd w:val="clear" w:color="auto" w:fill="FFFFFF"/>
          </w:tcPr>
          <w:p>
            <w:pPr>
              <w:jc w:val="center"/>
              <w:rPr>
                <w:rFonts w:ascii="仿宋" w:hAnsi="仿宋" w:eastAsia="仿宋" w:cs="Times New Roman"/>
                <w:sz w:val="28"/>
                <w:szCs w:val="28"/>
              </w:rPr>
            </w:pPr>
            <w:r>
              <w:rPr>
                <w:rFonts w:ascii="仿宋" w:hAnsi="仿宋" w:eastAsia="仿宋" w:cs="Times New Roman"/>
                <w:sz w:val="28"/>
                <w:szCs w:val="28"/>
              </w:rPr>
              <w:t>交货时间</w:t>
            </w:r>
          </w:p>
        </w:tc>
        <w:tc>
          <w:tcPr>
            <w:tcW w:w="8532"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合同签订生效之日起</w:t>
            </w:r>
            <w:r>
              <w:rPr>
                <w:rFonts w:hint="eastAsia" w:ascii="仿宋" w:hAnsi="仿宋" w:eastAsia="仿宋" w:cs="Times New Roman"/>
                <w:sz w:val="24"/>
                <w:szCs w:val="24"/>
                <w:u w:val="single"/>
                <w:lang w:val="en-US" w:eastAsia="zh-CN"/>
              </w:rPr>
              <w:t>30</w:t>
            </w:r>
            <w:r>
              <w:rPr>
                <w:rFonts w:hint="eastAsia" w:ascii="仿宋" w:hAnsi="仿宋" w:eastAsia="仿宋" w:cs="Times New Roman"/>
                <w:sz w:val="24"/>
                <w:szCs w:val="24"/>
              </w:rPr>
              <w:t>个工作日之内。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72" w:type="dxa"/>
            <w:shd w:val="clear" w:color="auto" w:fill="FFFFFF"/>
          </w:tcPr>
          <w:p>
            <w:pPr>
              <w:jc w:val="center"/>
              <w:rPr>
                <w:rFonts w:ascii="仿宋" w:hAnsi="仿宋" w:eastAsia="仿宋" w:cs="Times New Roman"/>
                <w:sz w:val="28"/>
                <w:szCs w:val="28"/>
              </w:rPr>
            </w:pPr>
            <w:r>
              <w:rPr>
                <w:rFonts w:ascii="仿宋" w:hAnsi="仿宋" w:eastAsia="仿宋" w:cs="Times New Roman"/>
                <w:sz w:val="28"/>
                <w:szCs w:val="28"/>
              </w:rPr>
              <w:t>交货地点</w:t>
            </w:r>
          </w:p>
        </w:tc>
        <w:tc>
          <w:tcPr>
            <w:tcW w:w="8532"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到达州职业技术学院内指定地点。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72" w:type="dxa"/>
            <w:shd w:val="clear" w:color="auto" w:fill="FFFFFF"/>
            <w:vAlign w:val="center"/>
          </w:tcPr>
          <w:p>
            <w:pPr>
              <w:spacing w:line="400" w:lineRule="exact"/>
              <w:jc w:val="left"/>
              <w:rPr>
                <w:rFonts w:ascii="仿宋" w:hAnsi="仿宋" w:eastAsia="仿宋" w:cs="Times New Roman"/>
                <w:sz w:val="24"/>
                <w:szCs w:val="24"/>
              </w:rPr>
            </w:pPr>
            <w:r>
              <w:rPr>
                <w:rFonts w:hint="eastAsia" w:ascii="仿宋" w:hAnsi="仿宋" w:eastAsia="仿宋" w:cs="Times New Roman"/>
                <w:sz w:val="28"/>
                <w:szCs w:val="28"/>
              </w:rPr>
              <w:t>项目供货要求</w:t>
            </w:r>
          </w:p>
        </w:tc>
        <w:tc>
          <w:tcPr>
            <w:tcW w:w="8532" w:type="dxa"/>
            <w:shd w:val="clear" w:color="auto" w:fill="FFFFFF"/>
            <w:vAlign w:val="center"/>
          </w:tcPr>
          <w:p>
            <w:pPr>
              <w:spacing w:line="400" w:lineRule="exact"/>
              <w:jc w:val="left"/>
              <w:rPr>
                <w:rFonts w:ascii="仿宋" w:hAnsi="仿宋" w:eastAsia="仿宋" w:cs="Times New Roman"/>
                <w:sz w:val="24"/>
                <w:szCs w:val="24"/>
              </w:rPr>
            </w:pPr>
            <w:r>
              <w:rPr>
                <w:rFonts w:hint="eastAsia" w:ascii="仿宋" w:hAnsi="仿宋" w:eastAsia="仿宋" w:cs="Times New Roman"/>
                <w:sz w:val="24"/>
                <w:szCs w:val="24"/>
              </w:rPr>
              <w:t>自合同签订之日起15日内送货到甲方指定地点并安装、调试完成交付正常使用。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2172" w:type="dxa"/>
            <w:shd w:val="clear" w:color="auto" w:fill="FFFFFF"/>
          </w:tcPr>
          <w:p>
            <w:pPr>
              <w:jc w:val="center"/>
              <w:rPr>
                <w:rFonts w:ascii="仿宋" w:hAnsi="仿宋" w:eastAsia="仿宋" w:cs="Times New Roman"/>
                <w:sz w:val="28"/>
                <w:szCs w:val="28"/>
              </w:rPr>
            </w:pPr>
            <w:r>
              <w:rPr>
                <w:rFonts w:hint="eastAsia" w:ascii="仿宋" w:hAnsi="仿宋" w:eastAsia="仿宋" w:cs="Times New Roman"/>
                <w:sz w:val="28"/>
                <w:szCs w:val="28"/>
              </w:rPr>
              <w:t>售后服务</w:t>
            </w:r>
          </w:p>
        </w:tc>
        <w:tc>
          <w:tcPr>
            <w:tcW w:w="8532" w:type="dxa"/>
            <w:shd w:val="clear" w:color="auto" w:fill="FFFFFF"/>
            <w:vAlign w:val="center"/>
          </w:tcPr>
          <w:p>
            <w:pPr>
              <w:jc w:val="left"/>
              <w:rPr>
                <w:rFonts w:ascii="仿宋" w:hAnsi="仿宋" w:eastAsia="仿宋" w:cs="Times New Roman"/>
                <w:sz w:val="24"/>
                <w:szCs w:val="24"/>
              </w:rPr>
            </w:pPr>
            <w:r>
              <w:rPr>
                <w:rFonts w:hint="eastAsia" w:ascii="仿宋" w:hAnsi="仿宋" w:eastAsia="仿宋" w:cs="Times New Roman"/>
                <w:sz w:val="24"/>
                <w:szCs w:val="24"/>
              </w:rPr>
              <w:t>按国家相关规定执行。</w:t>
            </w:r>
          </w:p>
        </w:tc>
      </w:tr>
    </w:tbl>
    <w:p>
      <w:pPr>
        <w:rPr>
          <w:rFonts w:ascii="Calibri" w:hAnsi="Calibri" w:eastAsia="宋体" w:cs="Times New Roman"/>
        </w:rPr>
      </w:pPr>
    </w:p>
    <w:p>
      <w:pPr>
        <w:spacing w:line="560" w:lineRule="exact"/>
        <w:jc w:val="both"/>
        <w:rPr>
          <w:rFonts w:hint="eastAsia" w:ascii="Calibri" w:hAnsi="Calibri" w:eastAsia="宋体" w:cs="Times New Roman"/>
          <w:b/>
          <w:bCs/>
          <w:color w:val="000000"/>
          <w:sz w:val="36"/>
          <w:szCs w:val="44"/>
          <w:lang w:val="en-US" w:eastAsia="zh-CN"/>
        </w:rPr>
      </w:pPr>
    </w:p>
    <w:p>
      <w:pPr>
        <w:pStyle w:val="2"/>
        <w:rPr>
          <w:rFonts w:hint="eastAsia"/>
          <w:lang w:val="en-US" w:eastAsia="zh-CN"/>
        </w:rPr>
      </w:pPr>
    </w:p>
    <w:sectPr>
      <w:head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modern"/>
    <w:pitch w:val="default"/>
    <w:sig w:usb0="A00002FF" w:usb1="28CFFCFA" w:usb2="00000016" w:usb3="00000000" w:csb0="00100001" w:csb1="00000000"/>
  </w:font>
  <w:font w:name="Segoe UI">
    <w:panose1 w:val="020B0502040204020203"/>
    <w:charset w:val="00"/>
    <w:family w:val="swiss"/>
    <w:pitch w:val="default"/>
    <w:sig w:usb0="E10022FF" w:usb1="C000E47F" w:usb2="00000029" w:usb3="00000000" w:csb0="200001DF" w:csb1="2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1MTRmOTU4Y2E2MTZlMTJjMGZlNTE3YTZjOWNiOTcifQ=="/>
  </w:docVars>
  <w:rsids>
    <w:rsidRoot w:val="00172A27"/>
    <w:rsid w:val="00017A2A"/>
    <w:rsid w:val="00030B49"/>
    <w:rsid w:val="000453DB"/>
    <w:rsid w:val="00056BCB"/>
    <w:rsid w:val="000575DA"/>
    <w:rsid w:val="00080A1F"/>
    <w:rsid w:val="000B58CC"/>
    <w:rsid w:val="000C0EF6"/>
    <w:rsid w:val="000F36C7"/>
    <w:rsid w:val="000F5A98"/>
    <w:rsid w:val="00105910"/>
    <w:rsid w:val="001100C5"/>
    <w:rsid w:val="00125A09"/>
    <w:rsid w:val="00144DED"/>
    <w:rsid w:val="001603D4"/>
    <w:rsid w:val="00180608"/>
    <w:rsid w:val="001A6BFF"/>
    <w:rsid w:val="001B3C37"/>
    <w:rsid w:val="001D30ED"/>
    <w:rsid w:val="001E0164"/>
    <w:rsid w:val="001E41A5"/>
    <w:rsid w:val="00210941"/>
    <w:rsid w:val="00222990"/>
    <w:rsid w:val="00224510"/>
    <w:rsid w:val="003311B6"/>
    <w:rsid w:val="00332553"/>
    <w:rsid w:val="00364831"/>
    <w:rsid w:val="00373767"/>
    <w:rsid w:val="00373DF8"/>
    <w:rsid w:val="00384FAF"/>
    <w:rsid w:val="0038717C"/>
    <w:rsid w:val="003A11ED"/>
    <w:rsid w:val="003A2273"/>
    <w:rsid w:val="003B2BAF"/>
    <w:rsid w:val="003C7434"/>
    <w:rsid w:val="003F6309"/>
    <w:rsid w:val="00402610"/>
    <w:rsid w:val="0043404B"/>
    <w:rsid w:val="004671B9"/>
    <w:rsid w:val="00473422"/>
    <w:rsid w:val="00481962"/>
    <w:rsid w:val="00482E27"/>
    <w:rsid w:val="004924AA"/>
    <w:rsid w:val="004925B5"/>
    <w:rsid w:val="00494220"/>
    <w:rsid w:val="004B2FAC"/>
    <w:rsid w:val="004C7CE3"/>
    <w:rsid w:val="00525742"/>
    <w:rsid w:val="00542E36"/>
    <w:rsid w:val="00545E92"/>
    <w:rsid w:val="00584AB4"/>
    <w:rsid w:val="005978FF"/>
    <w:rsid w:val="005A1189"/>
    <w:rsid w:val="005A3D51"/>
    <w:rsid w:val="005C16AF"/>
    <w:rsid w:val="005D6743"/>
    <w:rsid w:val="005E6CB9"/>
    <w:rsid w:val="005F46C2"/>
    <w:rsid w:val="006170DA"/>
    <w:rsid w:val="00642F5F"/>
    <w:rsid w:val="006747E7"/>
    <w:rsid w:val="006A4969"/>
    <w:rsid w:val="00717024"/>
    <w:rsid w:val="00740B73"/>
    <w:rsid w:val="007625BA"/>
    <w:rsid w:val="00780DD7"/>
    <w:rsid w:val="007B1857"/>
    <w:rsid w:val="007C175D"/>
    <w:rsid w:val="007C49F2"/>
    <w:rsid w:val="00802619"/>
    <w:rsid w:val="00842182"/>
    <w:rsid w:val="00871489"/>
    <w:rsid w:val="00880803"/>
    <w:rsid w:val="00887312"/>
    <w:rsid w:val="008932CD"/>
    <w:rsid w:val="008D6685"/>
    <w:rsid w:val="008F28F4"/>
    <w:rsid w:val="009344B4"/>
    <w:rsid w:val="00945D3B"/>
    <w:rsid w:val="009645C7"/>
    <w:rsid w:val="009A78D3"/>
    <w:rsid w:val="009B5D61"/>
    <w:rsid w:val="009D0739"/>
    <w:rsid w:val="00A450FC"/>
    <w:rsid w:val="00A54CDE"/>
    <w:rsid w:val="00A72837"/>
    <w:rsid w:val="00AB47DE"/>
    <w:rsid w:val="00AC50F9"/>
    <w:rsid w:val="00B075FD"/>
    <w:rsid w:val="00B261B3"/>
    <w:rsid w:val="00B423DE"/>
    <w:rsid w:val="00B57736"/>
    <w:rsid w:val="00B60CE2"/>
    <w:rsid w:val="00B61CE9"/>
    <w:rsid w:val="00B8154A"/>
    <w:rsid w:val="00BA67DC"/>
    <w:rsid w:val="00BB2298"/>
    <w:rsid w:val="00BD1941"/>
    <w:rsid w:val="00BD516F"/>
    <w:rsid w:val="00BE25B3"/>
    <w:rsid w:val="00C524F3"/>
    <w:rsid w:val="00C55D91"/>
    <w:rsid w:val="00C57B99"/>
    <w:rsid w:val="00C86180"/>
    <w:rsid w:val="00C94C83"/>
    <w:rsid w:val="00CB1135"/>
    <w:rsid w:val="00CD5112"/>
    <w:rsid w:val="00D0209A"/>
    <w:rsid w:val="00D1358D"/>
    <w:rsid w:val="00D43755"/>
    <w:rsid w:val="00D4619C"/>
    <w:rsid w:val="00D526C0"/>
    <w:rsid w:val="00D559C5"/>
    <w:rsid w:val="00D74941"/>
    <w:rsid w:val="00DD0B6F"/>
    <w:rsid w:val="00DE3399"/>
    <w:rsid w:val="00DE51EA"/>
    <w:rsid w:val="00DF53A1"/>
    <w:rsid w:val="00E069F2"/>
    <w:rsid w:val="00E1142D"/>
    <w:rsid w:val="00E243C5"/>
    <w:rsid w:val="00E334B6"/>
    <w:rsid w:val="00E42FDB"/>
    <w:rsid w:val="00E572D4"/>
    <w:rsid w:val="00E84103"/>
    <w:rsid w:val="00E91D0B"/>
    <w:rsid w:val="00EB7687"/>
    <w:rsid w:val="00F23092"/>
    <w:rsid w:val="00F31A2E"/>
    <w:rsid w:val="00F64D17"/>
    <w:rsid w:val="00FD06DF"/>
    <w:rsid w:val="00FF572E"/>
    <w:rsid w:val="01F947C1"/>
    <w:rsid w:val="037137FD"/>
    <w:rsid w:val="04904570"/>
    <w:rsid w:val="05036529"/>
    <w:rsid w:val="050E2ECE"/>
    <w:rsid w:val="051A55B3"/>
    <w:rsid w:val="06A27B74"/>
    <w:rsid w:val="07466AC9"/>
    <w:rsid w:val="07B34C14"/>
    <w:rsid w:val="07E5675F"/>
    <w:rsid w:val="080832CD"/>
    <w:rsid w:val="084531A0"/>
    <w:rsid w:val="084A68F4"/>
    <w:rsid w:val="084D532E"/>
    <w:rsid w:val="08BC4608"/>
    <w:rsid w:val="0A854A2B"/>
    <w:rsid w:val="0ABD57CC"/>
    <w:rsid w:val="0AE87F1A"/>
    <w:rsid w:val="0B59604C"/>
    <w:rsid w:val="0B831F9A"/>
    <w:rsid w:val="0C2D1C9E"/>
    <w:rsid w:val="0C8D7DF3"/>
    <w:rsid w:val="0CAB3131"/>
    <w:rsid w:val="0DF7766E"/>
    <w:rsid w:val="0E4112D9"/>
    <w:rsid w:val="0E737964"/>
    <w:rsid w:val="0E840851"/>
    <w:rsid w:val="0EC4295E"/>
    <w:rsid w:val="0EC6083C"/>
    <w:rsid w:val="0F681EA2"/>
    <w:rsid w:val="0FEA595D"/>
    <w:rsid w:val="10367A2C"/>
    <w:rsid w:val="10703A7C"/>
    <w:rsid w:val="112C6D93"/>
    <w:rsid w:val="12656004"/>
    <w:rsid w:val="13B16302"/>
    <w:rsid w:val="1403756B"/>
    <w:rsid w:val="14F31E7A"/>
    <w:rsid w:val="14FC2F9D"/>
    <w:rsid w:val="15562691"/>
    <w:rsid w:val="157848CA"/>
    <w:rsid w:val="160903E8"/>
    <w:rsid w:val="170462F8"/>
    <w:rsid w:val="17195864"/>
    <w:rsid w:val="17AE352F"/>
    <w:rsid w:val="18DF3200"/>
    <w:rsid w:val="193910E5"/>
    <w:rsid w:val="195135D8"/>
    <w:rsid w:val="1A7D5684"/>
    <w:rsid w:val="1AC15311"/>
    <w:rsid w:val="1B134EC3"/>
    <w:rsid w:val="1C2C52C5"/>
    <w:rsid w:val="1CAD5CEA"/>
    <w:rsid w:val="1D113FA4"/>
    <w:rsid w:val="1D5B7B20"/>
    <w:rsid w:val="1E8F3ED4"/>
    <w:rsid w:val="20371A9D"/>
    <w:rsid w:val="204E2284"/>
    <w:rsid w:val="20E76CAB"/>
    <w:rsid w:val="21394209"/>
    <w:rsid w:val="21EA0F6E"/>
    <w:rsid w:val="231C7821"/>
    <w:rsid w:val="237B095A"/>
    <w:rsid w:val="241C27E5"/>
    <w:rsid w:val="24DB4A8C"/>
    <w:rsid w:val="259E1B40"/>
    <w:rsid w:val="25A07E30"/>
    <w:rsid w:val="26D05631"/>
    <w:rsid w:val="26E23F50"/>
    <w:rsid w:val="27E20B06"/>
    <w:rsid w:val="27FC47B5"/>
    <w:rsid w:val="287E141C"/>
    <w:rsid w:val="28B8629B"/>
    <w:rsid w:val="28CD15BF"/>
    <w:rsid w:val="2A067046"/>
    <w:rsid w:val="2AB11F9F"/>
    <w:rsid w:val="2ACB3D96"/>
    <w:rsid w:val="2B813F30"/>
    <w:rsid w:val="2B9525BA"/>
    <w:rsid w:val="2BA47F84"/>
    <w:rsid w:val="2BA70D47"/>
    <w:rsid w:val="2BB72189"/>
    <w:rsid w:val="2BC20EB0"/>
    <w:rsid w:val="2BFA58CF"/>
    <w:rsid w:val="2C0D1342"/>
    <w:rsid w:val="2CE22C39"/>
    <w:rsid w:val="2CFC063C"/>
    <w:rsid w:val="2D0642A7"/>
    <w:rsid w:val="2D2674F0"/>
    <w:rsid w:val="2DEF43FE"/>
    <w:rsid w:val="2E4C334A"/>
    <w:rsid w:val="2E735FF0"/>
    <w:rsid w:val="2F3D4C69"/>
    <w:rsid w:val="2FD62398"/>
    <w:rsid w:val="30AF4379"/>
    <w:rsid w:val="30F77E7A"/>
    <w:rsid w:val="310A1609"/>
    <w:rsid w:val="313724A3"/>
    <w:rsid w:val="314A2369"/>
    <w:rsid w:val="314F75C7"/>
    <w:rsid w:val="31E71C02"/>
    <w:rsid w:val="31FA4D5D"/>
    <w:rsid w:val="32DD68D2"/>
    <w:rsid w:val="33266B77"/>
    <w:rsid w:val="336E46FF"/>
    <w:rsid w:val="339A2D55"/>
    <w:rsid w:val="33A610DA"/>
    <w:rsid w:val="352C0B45"/>
    <w:rsid w:val="35946AAA"/>
    <w:rsid w:val="36E11B91"/>
    <w:rsid w:val="36F0387E"/>
    <w:rsid w:val="370F1C04"/>
    <w:rsid w:val="3717002F"/>
    <w:rsid w:val="37344B40"/>
    <w:rsid w:val="376F22B9"/>
    <w:rsid w:val="37762B2D"/>
    <w:rsid w:val="37CC1338"/>
    <w:rsid w:val="38AC5308"/>
    <w:rsid w:val="390C744C"/>
    <w:rsid w:val="39FA3AED"/>
    <w:rsid w:val="3A486159"/>
    <w:rsid w:val="3AAC7696"/>
    <w:rsid w:val="3AE86BAC"/>
    <w:rsid w:val="3B4D6C4F"/>
    <w:rsid w:val="3BEA48CE"/>
    <w:rsid w:val="3C7D054E"/>
    <w:rsid w:val="3CFC1165"/>
    <w:rsid w:val="3D015A8B"/>
    <w:rsid w:val="3D334134"/>
    <w:rsid w:val="3D415E88"/>
    <w:rsid w:val="3D756085"/>
    <w:rsid w:val="3EBB220E"/>
    <w:rsid w:val="3F291FD7"/>
    <w:rsid w:val="3F714EB4"/>
    <w:rsid w:val="3FE700DA"/>
    <w:rsid w:val="400F5387"/>
    <w:rsid w:val="409E6959"/>
    <w:rsid w:val="40E33CB6"/>
    <w:rsid w:val="40E672A8"/>
    <w:rsid w:val="421B5AB1"/>
    <w:rsid w:val="42FA78AA"/>
    <w:rsid w:val="436A71FB"/>
    <w:rsid w:val="446A2A35"/>
    <w:rsid w:val="448E683E"/>
    <w:rsid w:val="45472443"/>
    <w:rsid w:val="45726CAD"/>
    <w:rsid w:val="45E75B72"/>
    <w:rsid w:val="46787084"/>
    <w:rsid w:val="46F25FA8"/>
    <w:rsid w:val="472F74AE"/>
    <w:rsid w:val="4864384C"/>
    <w:rsid w:val="495C41CA"/>
    <w:rsid w:val="497154DF"/>
    <w:rsid w:val="49930CA0"/>
    <w:rsid w:val="4A364969"/>
    <w:rsid w:val="4B3710C6"/>
    <w:rsid w:val="4C5338DC"/>
    <w:rsid w:val="4C661EAD"/>
    <w:rsid w:val="4C8E350F"/>
    <w:rsid w:val="4C967C71"/>
    <w:rsid w:val="4D143759"/>
    <w:rsid w:val="4DF14748"/>
    <w:rsid w:val="4F14648F"/>
    <w:rsid w:val="4FDA5DC0"/>
    <w:rsid w:val="511D7321"/>
    <w:rsid w:val="52172637"/>
    <w:rsid w:val="521B665C"/>
    <w:rsid w:val="52DE7538"/>
    <w:rsid w:val="53D6057F"/>
    <w:rsid w:val="550E655A"/>
    <w:rsid w:val="55677B7D"/>
    <w:rsid w:val="55751482"/>
    <w:rsid w:val="55A44E60"/>
    <w:rsid w:val="55BE0C0A"/>
    <w:rsid w:val="563E56D8"/>
    <w:rsid w:val="56793777"/>
    <w:rsid w:val="56D23F20"/>
    <w:rsid w:val="57524BAD"/>
    <w:rsid w:val="57903AE2"/>
    <w:rsid w:val="58696FE1"/>
    <w:rsid w:val="586C4C62"/>
    <w:rsid w:val="58967865"/>
    <w:rsid w:val="58DB0E89"/>
    <w:rsid w:val="59FD5891"/>
    <w:rsid w:val="5A2D31D7"/>
    <w:rsid w:val="5A4001CD"/>
    <w:rsid w:val="5A827677"/>
    <w:rsid w:val="5B46758A"/>
    <w:rsid w:val="5B7E5A0A"/>
    <w:rsid w:val="5B8007D7"/>
    <w:rsid w:val="5CC37E03"/>
    <w:rsid w:val="5D3C6E24"/>
    <w:rsid w:val="5D565CCA"/>
    <w:rsid w:val="5DD93569"/>
    <w:rsid w:val="5DDE13DF"/>
    <w:rsid w:val="5DEB0DD3"/>
    <w:rsid w:val="5ED66C02"/>
    <w:rsid w:val="5FBE0A6E"/>
    <w:rsid w:val="5FDF0124"/>
    <w:rsid w:val="60AE143D"/>
    <w:rsid w:val="61810A7F"/>
    <w:rsid w:val="61AA1436"/>
    <w:rsid w:val="62E969E6"/>
    <w:rsid w:val="62FA4553"/>
    <w:rsid w:val="635F6889"/>
    <w:rsid w:val="648A6BD3"/>
    <w:rsid w:val="652B354E"/>
    <w:rsid w:val="65E41CEC"/>
    <w:rsid w:val="65FC1843"/>
    <w:rsid w:val="66F44F9A"/>
    <w:rsid w:val="6703567D"/>
    <w:rsid w:val="677F6F32"/>
    <w:rsid w:val="67C34D27"/>
    <w:rsid w:val="68242688"/>
    <w:rsid w:val="6873134A"/>
    <w:rsid w:val="68BF6EFA"/>
    <w:rsid w:val="68DF31E0"/>
    <w:rsid w:val="68F77EE8"/>
    <w:rsid w:val="6956703F"/>
    <w:rsid w:val="6A473E6C"/>
    <w:rsid w:val="6C3A4D28"/>
    <w:rsid w:val="6C476A65"/>
    <w:rsid w:val="6C7D51FB"/>
    <w:rsid w:val="6D1143E7"/>
    <w:rsid w:val="6D243D76"/>
    <w:rsid w:val="6EEB6630"/>
    <w:rsid w:val="70A70FB3"/>
    <w:rsid w:val="70EF3BC6"/>
    <w:rsid w:val="70FE0565"/>
    <w:rsid w:val="71065830"/>
    <w:rsid w:val="714025C6"/>
    <w:rsid w:val="717B04E2"/>
    <w:rsid w:val="72451486"/>
    <w:rsid w:val="726A3B6F"/>
    <w:rsid w:val="739326B7"/>
    <w:rsid w:val="739864CD"/>
    <w:rsid w:val="73A1555E"/>
    <w:rsid w:val="73DC7DFF"/>
    <w:rsid w:val="73FD7548"/>
    <w:rsid w:val="74383190"/>
    <w:rsid w:val="747D4382"/>
    <w:rsid w:val="74EB34EA"/>
    <w:rsid w:val="75170C43"/>
    <w:rsid w:val="751747F8"/>
    <w:rsid w:val="752A0060"/>
    <w:rsid w:val="755161DC"/>
    <w:rsid w:val="75546E5B"/>
    <w:rsid w:val="7594657A"/>
    <w:rsid w:val="777F323F"/>
    <w:rsid w:val="78AA53A5"/>
    <w:rsid w:val="78B0277B"/>
    <w:rsid w:val="78FD1A99"/>
    <w:rsid w:val="79196E60"/>
    <w:rsid w:val="7A5A27EE"/>
    <w:rsid w:val="7ABA1344"/>
    <w:rsid w:val="7AE36DFF"/>
    <w:rsid w:val="7D225AFC"/>
    <w:rsid w:val="7D673CC8"/>
    <w:rsid w:val="7D740341"/>
    <w:rsid w:val="7DAC327C"/>
    <w:rsid w:val="7E480EBC"/>
    <w:rsid w:val="7E805276"/>
    <w:rsid w:val="7E83137B"/>
    <w:rsid w:val="7EE82894"/>
    <w:rsid w:val="7F084957"/>
    <w:rsid w:val="7F2D0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
    <w:pPr>
      <w:keepNext/>
      <w:keepLines/>
      <w:spacing w:before="340" w:after="330" w:line="576" w:lineRule="auto"/>
      <w:outlineLvl w:val="0"/>
    </w:pPr>
    <w:rPr>
      <w:rFonts w:ascii="Times New Roman" w:hAnsi="Times New Roman" w:eastAsia="宋体" w:cs="Times New Roman"/>
      <w:b/>
      <w:kern w:val="44"/>
      <w:sz w:val="32"/>
      <w:szCs w:val="20"/>
    </w:rPr>
  </w:style>
  <w:style w:type="paragraph" w:styleId="4">
    <w:name w:val="heading 2"/>
    <w:basedOn w:val="1"/>
    <w:next w:val="1"/>
    <w:link w:val="74"/>
    <w:unhideWhenUsed/>
    <w:qFormat/>
    <w:uiPriority w:val="0"/>
    <w:pPr>
      <w:spacing w:line="360" w:lineRule="auto"/>
      <w:ind w:firstLine="480" w:firstLineChars="200"/>
      <w:outlineLvl w:val="1"/>
    </w:pPr>
    <w:rPr>
      <w:rFonts w:ascii="黑体" w:hAnsi="黑体" w:eastAsia="黑体" w:cs="Times New Roman"/>
      <w:sz w:val="32"/>
      <w:szCs w:val="24"/>
    </w:rPr>
  </w:style>
  <w:style w:type="paragraph" w:styleId="5">
    <w:name w:val="heading 3"/>
    <w:basedOn w:val="1"/>
    <w:next w:val="1"/>
    <w:link w:val="75"/>
    <w:semiHidden/>
    <w:unhideWhenUsed/>
    <w:qFormat/>
    <w:uiPriority w:val="9"/>
    <w:pPr>
      <w:keepNext/>
      <w:keepLines/>
      <w:spacing w:before="260" w:after="260" w:line="416" w:lineRule="auto"/>
      <w:outlineLvl w:val="2"/>
    </w:pPr>
    <w:rPr>
      <w:rFonts w:ascii="等线" w:hAnsi="等线" w:eastAsia="等线" w:cs="Times New Roman"/>
      <w:b/>
      <w:bCs/>
      <w:sz w:val="32"/>
      <w:szCs w:val="32"/>
    </w:rPr>
  </w:style>
  <w:style w:type="paragraph" w:styleId="6">
    <w:name w:val="heading 4"/>
    <w:basedOn w:val="1"/>
    <w:next w:val="1"/>
    <w:link w:val="76"/>
    <w:semiHidden/>
    <w:unhideWhenUsed/>
    <w:qFormat/>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7">
    <w:name w:val="heading 5"/>
    <w:basedOn w:val="1"/>
    <w:next w:val="1"/>
    <w:unhideWhenUsed/>
    <w:qFormat/>
    <w:uiPriority w:val="9"/>
    <w:pPr>
      <w:keepNext/>
      <w:keepLines/>
      <w:spacing w:before="280" w:after="290" w:line="376" w:lineRule="auto"/>
      <w:outlineLvl w:val="4"/>
    </w:pPr>
    <w:rPr>
      <w:rFonts w:asciiTheme="minorHAnsi" w:hAnsiTheme="minorHAnsi" w:eastAsiaTheme="minorEastAsia" w:cstheme="minorBidi"/>
      <w:b/>
      <w:bCs/>
      <w:sz w:val="28"/>
      <w:szCs w:val="28"/>
    </w:rPr>
  </w:style>
  <w:style w:type="character" w:default="1" w:styleId="22">
    <w:name w:val="Default Paragraph Font"/>
    <w:semiHidden/>
    <w:unhideWhenUsed/>
    <w:qFormat/>
    <w:uiPriority w:val="1"/>
  </w:style>
  <w:style w:type="table" w:default="1" w:styleId="34">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1"/>
    <w:link w:val="78"/>
    <w:unhideWhenUsed/>
    <w:qFormat/>
    <w:uiPriority w:val="99"/>
    <w:pPr>
      <w:spacing w:after="120"/>
    </w:pPr>
    <w:rPr>
      <w:rFonts w:ascii="Times New Roman" w:hAnsi="Times New Roman" w:eastAsia="宋体" w:cs="Times New Roman"/>
      <w:sz w:val="28"/>
      <w:szCs w:val="20"/>
    </w:rPr>
  </w:style>
  <w:style w:type="paragraph" w:styleId="8">
    <w:name w:val="annotation subject"/>
    <w:basedOn w:val="9"/>
    <w:next w:val="9"/>
    <w:link w:val="91"/>
    <w:unhideWhenUsed/>
    <w:qFormat/>
    <w:uiPriority w:val="99"/>
    <w:rPr>
      <w:rFonts w:asciiTheme="minorHAnsi" w:hAnsiTheme="minorHAnsi" w:eastAsiaTheme="minorEastAsia" w:cstheme="minorBidi"/>
      <w:b/>
      <w:bCs/>
      <w:szCs w:val="22"/>
    </w:rPr>
  </w:style>
  <w:style w:type="paragraph" w:styleId="9">
    <w:name w:val="annotation text"/>
    <w:basedOn w:val="1"/>
    <w:link w:val="77"/>
    <w:qFormat/>
    <w:uiPriority w:val="99"/>
    <w:pPr>
      <w:jc w:val="left"/>
    </w:pPr>
    <w:rPr>
      <w:rFonts w:ascii="Calibri" w:hAnsi="Calibri" w:eastAsia="宋体" w:cs="Calibri"/>
      <w:szCs w:val="21"/>
    </w:rPr>
  </w:style>
  <w:style w:type="paragraph" w:styleId="10">
    <w:name w:val="Body Text First Indent"/>
    <w:basedOn w:val="2"/>
    <w:unhideWhenUsed/>
    <w:qFormat/>
    <w:uiPriority w:val="99"/>
    <w:pPr>
      <w:ind w:firstLine="420" w:firstLineChars="100"/>
    </w:pPr>
  </w:style>
  <w:style w:type="paragraph" w:styleId="11">
    <w:name w:val="Body Text Indent"/>
    <w:basedOn w:val="1"/>
    <w:link w:val="93"/>
    <w:qFormat/>
    <w:uiPriority w:val="0"/>
    <w:pPr>
      <w:spacing w:after="120"/>
      <w:ind w:left="420" w:leftChars="200"/>
    </w:pPr>
  </w:style>
  <w:style w:type="paragraph" w:styleId="12">
    <w:name w:val="toc 3"/>
    <w:basedOn w:val="1"/>
    <w:next w:val="1"/>
    <w:unhideWhenUsed/>
    <w:qFormat/>
    <w:uiPriority w:val="39"/>
    <w:pPr>
      <w:tabs>
        <w:tab w:val="right" w:leader="middleDot" w:pos="8720"/>
      </w:tabs>
      <w:spacing w:line="480" w:lineRule="exact"/>
    </w:pPr>
    <w:rPr>
      <w:rFonts w:ascii="等线" w:hAnsi="等线" w:eastAsia="等线" w:cs="Times New Roman"/>
    </w:rPr>
  </w:style>
  <w:style w:type="paragraph" w:styleId="13">
    <w:name w:val="Date"/>
    <w:basedOn w:val="1"/>
    <w:next w:val="1"/>
    <w:link w:val="41"/>
    <w:unhideWhenUsed/>
    <w:qFormat/>
    <w:uiPriority w:val="99"/>
    <w:pPr>
      <w:ind w:left="100" w:leftChars="2500"/>
    </w:pPr>
  </w:style>
  <w:style w:type="paragraph" w:styleId="14">
    <w:name w:val="Balloon Text"/>
    <w:basedOn w:val="1"/>
    <w:link w:val="47"/>
    <w:unhideWhenUsed/>
    <w:qFormat/>
    <w:uiPriority w:val="99"/>
    <w:rPr>
      <w:sz w:val="18"/>
      <w:szCs w:val="18"/>
    </w:rPr>
  </w:style>
  <w:style w:type="paragraph" w:styleId="15">
    <w:name w:val="footer"/>
    <w:basedOn w:val="1"/>
    <w:link w:val="40"/>
    <w:unhideWhenUsed/>
    <w:qFormat/>
    <w:uiPriority w:val="99"/>
    <w:pPr>
      <w:tabs>
        <w:tab w:val="center" w:pos="4153"/>
        <w:tab w:val="right" w:pos="8306"/>
      </w:tabs>
      <w:snapToGrid w:val="0"/>
      <w:jc w:val="left"/>
    </w:pPr>
    <w:rPr>
      <w:sz w:val="18"/>
      <w:szCs w:val="18"/>
    </w:rPr>
  </w:style>
  <w:style w:type="paragraph" w:styleId="16">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rPr>
      <w:rFonts w:ascii="等线" w:hAnsi="等线" w:eastAsia="等线" w:cs="Times New Roman"/>
    </w:rPr>
  </w:style>
  <w:style w:type="paragraph" w:styleId="18">
    <w:name w:val="toc 4"/>
    <w:basedOn w:val="1"/>
    <w:next w:val="1"/>
    <w:unhideWhenUsed/>
    <w:qFormat/>
    <w:uiPriority w:val="39"/>
    <w:pPr>
      <w:ind w:left="1260" w:leftChars="600"/>
    </w:pPr>
    <w:rPr>
      <w:rFonts w:ascii="等线" w:hAnsi="等线" w:eastAsia="等线" w:cs="Times New Roman"/>
    </w:rPr>
  </w:style>
  <w:style w:type="paragraph" w:styleId="19">
    <w:name w:val="toc 2"/>
    <w:basedOn w:val="1"/>
    <w:next w:val="1"/>
    <w:unhideWhenUsed/>
    <w:qFormat/>
    <w:uiPriority w:val="39"/>
    <w:pPr>
      <w:tabs>
        <w:tab w:val="right" w:leader="middleDot" w:pos="8720"/>
      </w:tabs>
      <w:spacing w:line="400" w:lineRule="exact"/>
      <w:ind w:left="420" w:leftChars="200"/>
    </w:pPr>
    <w:rPr>
      <w:rFonts w:ascii="等线" w:hAnsi="等线" w:eastAsia="等线" w:cs="Times New Roman"/>
    </w:rPr>
  </w:style>
  <w:style w:type="paragraph" w:styleId="2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qFormat/>
    <w:uiPriority w:val="10"/>
    <w:pPr>
      <w:spacing w:before="240" w:after="60"/>
      <w:jc w:val="center"/>
      <w:outlineLvl w:val="0"/>
    </w:pPr>
    <w:rPr>
      <w:rFonts w:ascii="Cambria" w:hAnsi="Cambria"/>
      <w:b/>
      <w:kern w:val="0"/>
      <w:sz w:val="32"/>
    </w:rPr>
  </w:style>
  <w:style w:type="character" w:styleId="23">
    <w:name w:val="Strong"/>
    <w:basedOn w:val="22"/>
    <w:qFormat/>
    <w:uiPriority w:val="22"/>
    <w:rPr>
      <w:b/>
      <w:bCs/>
    </w:rPr>
  </w:style>
  <w:style w:type="character" w:styleId="24">
    <w:name w:val="FollowedHyperlink"/>
    <w:basedOn w:val="22"/>
    <w:semiHidden/>
    <w:unhideWhenUsed/>
    <w:qFormat/>
    <w:uiPriority w:val="99"/>
    <w:rPr>
      <w:color w:val="800080"/>
      <w:u w:val="single"/>
    </w:rPr>
  </w:style>
  <w:style w:type="character" w:styleId="25">
    <w:name w:val="HTML Definition"/>
    <w:basedOn w:val="22"/>
    <w:semiHidden/>
    <w:unhideWhenUsed/>
    <w:qFormat/>
    <w:uiPriority w:val="99"/>
    <w:rPr>
      <w:i/>
      <w:iCs/>
    </w:rPr>
  </w:style>
  <w:style w:type="character" w:styleId="26">
    <w:name w:val="HTML Acronym"/>
    <w:basedOn w:val="22"/>
    <w:semiHidden/>
    <w:unhideWhenUsed/>
    <w:qFormat/>
    <w:uiPriority w:val="99"/>
  </w:style>
  <w:style w:type="character" w:styleId="27">
    <w:name w:val="HTML Variable"/>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HTML Code"/>
    <w:basedOn w:val="22"/>
    <w:semiHidden/>
    <w:unhideWhenUsed/>
    <w:qFormat/>
    <w:uiPriority w:val="99"/>
    <w:rPr>
      <w:rFonts w:ascii="serif" w:hAnsi="serif" w:eastAsia="serif" w:cs="serif"/>
      <w:sz w:val="21"/>
      <w:szCs w:val="21"/>
    </w:rPr>
  </w:style>
  <w:style w:type="character" w:styleId="30">
    <w:name w:val="annotation reference"/>
    <w:basedOn w:val="22"/>
    <w:unhideWhenUsed/>
    <w:qFormat/>
    <w:uiPriority w:val="99"/>
    <w:rPr>
      <w:sz w:val="21"/>
      <w:szCs w:val="21"/>
    </w:rPr>
  </w:style>
  <w:style w:type="character" w:styleId="31">
    <w:name w:val="HTML Cite"/>
    <w:basedOn w:val="22"/>
    <w:semiHidden/>
    <w:unhideWhenUsed/>
    <w:qFormat/>
    <w:uiPriority w:val="99"/>
  </w:style>
  <w:style w:type="character" w:styleId="32">
    <w:name w:val="HTML Keyboard"/>
    <w:basedOn w:val="22"/>
    <w:semiHidden/>
    <w:unhideWhenUsed/>
    <w:qFormat/>
    <w:uiPriority w:val="99"/>
    <w:rPr>
      <w:rFonts w:hint="default" w:ascii="serif" w:hAnsi="serif" w:eastAsia="serif" w:cs="serif"/>
      <w:sz w:val="21"/>
      <w:szCs w:val="21"/>
    </w:rPr>
  </w:style>
  <w:style w:type="character" w:styleId="33">
    <w:name w:val="HTML Sample"/>
    <w:basedOn w:val="22"/>
    <w:semiHidden/>
    <w:unhideWhenUsed/>
    <w:qFormat/>
    <w:uiPriority w:val="99"/>
    <w:rPr>
      <w:rFonts w:hint="default" w:ascii="serif" w:hAnsi="serif" w:eastAsia="serif" w:cs="serif"/>
      <w:sz w:val="21"/>
      <w:szCs w:val="21"/>
    </w:rPr>
  </w:style>
  <w:style w:type="table" w:styleId="35">
    <w:name w:val="Table Grid"/>
    <w:basedOn w:val="34"/>
    <w:qFormat/>
    <w:uiPriority w:val="59"/>
    <w:rPr>
      <w:kern w:val="0"/>
      <w:sz w:val="20"/>
      <w:szCs w:val="20"/>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paragraph" w:customStyle="1" w:styleId="36">
    <w:name w:val="Default"/>
    <w:next w:val="37"/>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7">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8">
    <w:name w:val="首行缩进"/>
    <w:basedOn w:val="1"/>
    <w:qFormat/>
    <w:uiPriority w:val="0"/>
    <w:pPr>
      <w:spacing w:line="360" w:lineRule="auto"/>
      <w:ind w:firstLine="480" w:firstLineChars="200"/>
      <w:jc w:val="left"/>
    </w:pPr>
    <w:rPr>
      <w:rFonts w:ascii="宋体" w:hAnsi="宋体"/>
      <w:sz w:val="24"/>
    </w:rPr>
  </w:style>
  <w:style w:type="character" w:customStyle="1" w:styleId="39">
    <w:name w:val="页眉 Char"/>
    <w:basedOn w:val="22"/>
    <w:link w:val="16"/>
    <w:qFormat/>
    <w:uiPriority w:val="99"/>
    <w:rPr>
      <w:sz w:val="18"/>
      <w:szCs w:val="18"/>
    </w:rPr>
  </w:style>
  <w:style w:type="character" w:customStyle="1" w:styleId="40">
    <w:name w:val="页脚 Char"/>
    <w:basedOn w:val="22"/>
    <w:link w:val="15"/>
    <w:qFormat/>
    <w:uiPriority w:val="99"/>
    <w:rPr>
      <w:sz w:val="18"/>
      <w:szCs w:val="18"/>
    </w:rPr>
  </w:style>
  <w:style w:type="character" w:customStyle="1" w:styleId="41">
    <w:name w:val="日期 Char"/>
    <w:basedOn w:val="22"/>
    <w:link w:val="13"/>
    <w:qFormat/>
    <w:uiPriority w:val="99"/>
  </w:style>
  <w:style w:type="paragraph" w:styleId="42">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正文.表格"/>
    <w:basedOn w:val="1"/>
    <w:next w:val="1"/>
    <w:qFormat/>
    <w:uiPriority w:val="99"/>
    <w:pPr>
      <w:widowControl/>
      <w:jc w:val="center"/>
    </w:pPr>
    <w:rPr>
      <w:rFonts w:ascii="Calibri" w:hAnsi="Calibri" w:eastAsia="宋体" w:cs="黑体"/>
      <w:kern w:val="21"/>
      <w:szCs w:val="24"/>
    </w:rPr>
  </w:style>
  <w:style w:type="paragraph" w:customStyle="1" w:styleId="44">
    <w:name w:val="列出段落1"/>
    <w:basedOn w:val="1"/>
    <w:qFormat/>
    <w:uiPriority w:val="99"/>
    <w:pPr>
      <w:ind w:firstLine="420" w:firstLineChars="200"/>
    </w:pPr>
    <w:rPr>
      <w:rFonts w:ascii="Calibri" w:hAnsi="Calibri" w:eastAsia="宋体" w:cs="黑体"/>
    </w:rPr>
  </w:style>
  <w:style w:type="paragraph" w:customStyle="1" w:styleId="45">
    <w:name w:val="列出段落2"/>
    <w:basedOn w:val="1"/>
    <w:unhideWhenUsed/>
    <w:qFormat/>
    <w:uiPriority w:val="99"/>
    <w:pPr>
      <w:ind w:firstLine="420" w:firstLineChars="200"/>
    </w:pPr>
  </w:style>
  <w:style w:type="paragraph" w:customStyle="1" w:styleId="46">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47">
    <w:name w:val="批注框文本 Char"/>
    <w:basedOn w:val="22"/>
    <w:link w:val="14"/>
    <w:qFormat/>
    <w:uiPriority w:val="99"/>
    <w:rPr>
      <w:sz w:val="18"/>
      <w:szCs w:val="18"/>
    </w:rPr>
  </w:style>
  <w:style w:type="character" w:customStyle="1" w:styleId="48">
    <w:name w:val="标题 1 Char"/>
    <w:basedOn w:val="22"/>
    <w:link w:val="3"/>
    <w:qFormat/>
    <w:uiPriority w:val="9"/>
    <w:rPr>
      <w:rFonts w:ascii="Times New Roman" w:hAnsi="Times New Roman" w:eastAsia="宋体" w:cs="Times New Roman"/>
      <w:b/>
      <w:kern w:val="44"/>
      <w:sz w:val="32"/>
      <w:szCs w:val="20"/>
    </w:rPr>
  </w:style>
  <w:style w:type="paragraph" w:customStyle="1" w:styleId="49">
    <w:name w:val="正文首行缩进两字符"/>
    <w:basedOn w:val="1"/>
    <w:qFormat/>
    <w:uiPriority w:val="0"/>
    <w:pPr>
      <w:spacing w:line="360" w:lineRule="auto"/>
      <w:ind w:firstLine="200" w:firstLineChars="200"/>
    </w:pPr>
    <w:rPr>
      <w:rFonts w:ascii="Times New Roman" w:hAnsi="Times New Roman" w:eastAsia="宋体" w:cs="Times New Roman"/>
      <w:szCs w:val="24"/>
    </w:rPr>
  </w:style>
  <w:style w:type="paragraph" w:customStyle="1" w:styleId="50">
    <w:name w:val="font5"/>
    <w:basedOn w:val="1"/>
    <w:qFormat/>
    <w:uiPriority w:val="0"/>
    <w:pPr>
      <w:widowControl/>
      <w:spacing w:before="100" w:beforeAutospacing="1" w:after="100" w:afterAutospacing="1"/>
      <w:jc w:val="left"/>
    </w:pPr>
    <w:rPr>
      <w:rFonts w:ascii="Calibri" w:hAnsi="Calibri" w:eastAsia="宋体" w:cs="宋体"/>
      <w:color w:val="000000"/>
      <w:kern w:val="0"/>
      <w:sz w:val="18"/>
      <w:szCs w:val="18"/>
    </w:rPr>
  </w:style>
  <w:style w:type="paragraph" w:customStyle="1" w:styleId="51">
    <w:name w:val="font6"/>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52">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3">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Cs w:val="21"/>
    </w:rPr>
  </w:style>
  <w:style w:type="paragraph" w:customStyle="1" w:styleId="54">
    <w:name w:val="xl65"/>
    <w:basedOn w:val="1"/>
    <w:qFormat/>
    <w:uiPriority w:val="0"/>
    <w:pPr>
      <w:widowControl/>
      <w:pBdr>
        <w:top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Cs w:val="21"/>
    </w:rPr>
  </w:style>
  <w:style w:type="paragraph" w:customStyle="1" w:styleId="55">
    <w:name w:val="xl6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6">
    <w:name w:val="xl67"/>
    <w:basedOn w:val="1"/>
    <w:qFormat/>
    <w:uiPriority w:val="0"/>
    <w:pPr>
      <w:widowControl/>
      <w:pBdr>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57">
    <w:name w:val="xl68"/>
    <w:basedOn w:val="1"/>
    <w:qFormat/>
    <w:uiPriority w:val="0"/>
    <w:pPr>
      <w:widowControl/>
      <w:pBdr>
        <w:bottom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58">
    <w:name w:val="xl69"/>
    <w:basedOn w:val="1"/>
    <w:qFormat/>
    <w:uiPriority w:val="0"/>
    <w:pPr>
      <w:widowControl/>
      <w:pBdr>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59">
    <w:name w:val="xl70"/>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0">
    <w:name w:val="xl71"/>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eastAsia="宋体" w:cs="宋体"/>
      <w:b/>
      <w:bCs/>
      <w:kern w:val="0"/>
      <w:sz w:val="18"/>
      <w:szCs w:val="18"/>
    </w:rPr>
  </w:style>
  <w:style w:type="paragraph" w:customStyle="1" w:styleId="61">
    <w:name w:val="xl72"/>
    <w:basedOn w:val="1"/>
    <w:qFormat/>
    <w:uiPriority w:val="0"/>
    <w:pPr>
      <w:widowControl/>
      <w:pBdr>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2">
    <w:name w:val="xl73"/>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Calibri" w:hAnsi="Calibri" w:eastAsia="宋体" w:cs="宋体"/>
      <w:kern w:val="0"/>
      <w:sz w:val="18"/>
      <w:szCs w:val="18"/>
    </w:rPr>
  </w:style>
  <w:style w:type="paragraph" w:customStyle="1" w:styleId="63">
    <w:name w:val="xl7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4">
    <w:name w:val="xl7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5">
    <w:name w:val="xl76"/>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6">
    <w:name w:val="xl77"/>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7">
    <w:name w:val="xl78"/>
    <w:basedOn w:val="1"/>
    <w:qFormat/>
    <w:uiPriority w:val="0"/>
    <w:pPr>
      <w:widowControl/>
      <w:pBdr>
        <w:left w:val="single" w:color="auto" w:sz="8" w:space="0"/>
        <w:right w:val="single" w:color="auto" w:sz="8" w:space="0"/>
      </w:pBdr>
      <w:spacing w:before="100" w:beforeAutospacing="1" w:after="100" w:afterAutospacing="1"/>
      <w:jc w:val="center"/>
    </w:pPr>
    <w:rPr>
      <w:rFonts w:ascii="宋体" w:hAnsi="宋体" w:eastAsia="宋体" w:cs="宋体"/>
      <w:kern w:val="0"/>
      <w:sz w:val="18"/>
      <w:szCs w:val="18"/>
    </w:rPr>
  </w:style>
  <w:style w:type="paragraph" w:customStyle="1" w:styleId="68">
    <w:name w:val="xl79"/>
    <w:basedOn w:val="1"/>
    <w:qFormat/>
    <w:uiPriority w:val="0"/>
    <w:pPr>
      <w:widowControl/>
      <w:pBdr>
        <w:left w:val="single" w:color="auto" w:sz="8" w:space="0"/>
        <w:right w:val="single" w:color="auto" w:sz="8" w:space="0"/>
      </w:pBdr>
      <w:spacing w:before="100" w:beforeAutospacing="1" w:after="100" w:afterAutospacing="1"/>
      <w:jc w:val="left"/>
    </w:pPr>
    <w:rPr>
      <w:rFonts w:ascii="宋体" w:hAnsi="宋体" w:eastAsia="宋体" w:cs="宋体"/>
      <w:kern w:val="0"/>
      <w:sz w:val="18"/>
      <w:szCs w:val="18"/>
    </w:rPr>
  </w:style>
  <w:style w:type="paragraph" w:customStyle="1" w:styleId="69">
    <w:name w:val="xl80"/>
    <w:basedOn w:val="1"/>
    <w:qFormat/>
    <w:uiPriority w:val="0"/>
    <w:pPr>
      <w:widowControl/>
      <w:pBdr>
        <w:top w:val="single" w:color="auto" w:sz="8" w:space="0"/>
        <w:left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0">
    <w:name w:val="xl81"/>
    <w:basedOn w:val="1"/>
    <w:qFormat/>
    <w:uiPriority w:val="0"/>
    <w:pPr>
      <w:widowControl/>
      <w:pBdr>
        <w:top w:val="single" w:color="auto" w:sz="8" w:space="0"/>
        <w:bottom w:val="single" w:color="auto" w:sz="8" w:space="0"/>
      </w:pBdr>
      <w:spacing w:before="100" w:beforeAutospacing="1" w:after="100" w:afterAutospacing="1"/>
      <w:jc w:val="left"/>
    </w:pPr>
    <w:rPr>
      <w:rFonts w:ascii="宋体" w:hAnsi="宋体" w:eastAsia="宋体" w:cs="宋体"/>
      <w:b/>
      <w:bCs/>
      <w:kern w:val="0"/>
      <w:sz w:val="18"/>
      <w:szCs w:val="18"/>
    </w:rPr>
  </w:style>
  <w:style w:type="paragraph" w:customStyle="1" w:styleId="71">
    <w:name w:val="标题 1_0"/>
    <w:basedOn w:val="1"/>
    <w:next w:val="1"/>
    <w:link w:val="72"/>
    <w:qFormat/>
    <w:uiPriority w:val="9"/>
    <w:pPr>
      <w:keepNext/>
      <w:keepLines/>
      <w:spacing w:before="340" w:after="330" w:line="578" w:lineRule="auto"/>
      <w:outlineLvl w:val="0"/>
    </w:pPr>
    <w:rPr>
      <w:rFonts w:ascii="Calibri" w:hAnsi="Calibri" w:eastAsia="宋体" w:cs="Times New Roman"/>
      <w:b/>
      <w:bCs/>
      <w:kern w:val="44"/>
      <w:sz w:val="44"/>
      <w:szCs w:val="44"/>
    </w:rPr>
  </w:style>
  <w:style w:type="character" w:customStyle="1" w:styleId="72">
    <w:name w:val="标题 1 Char_0"/>
    <w:link w:val="71"/>
    <w:qFormat/>
    <w:uiPriority w:val="9"/>
    <w:rPr>
      <w:rFonts w:ascii="Calibri" w:hAnsi="Calibri" w:eastAsia="宋体" w:cs="Times New Roman"/>
      <w:b/>
      <w:bCs/>
      <w:kern w:val="44"/>
      <w:sz w:val="44"/>
      <w:szCs w:val="44"/>
    </w:rPr>
  </w:style>
  <w:style w:type="paragraph" w:styleId="73">
    <w:name w:val="List Paragraph"/>
    <w:basedOn w:val="1"/>
    <w:qFormat/>
    <w:uiPriority w:val="1"/>
    <w:pPr>
      <w:ind w:firstLine="420" w:firstLineChars="200"/>
    </w:pPr>
    <w:rPr>
      <w:rFonts w:ascii="Times New Roman" w:hAnsi="Times New Roman" w:eastAsia="宋体" w:cs="Times New Roman"/>
      <w:szCs w:val="20"/>
    </w:rPr>
  </w:style>
  <w:style w:type="character" w:customStyle="1" w:styleId="74">
    <w:name w:val="标题 2 Char"/>
    <w:basedOn w:val="22"/>
    <w:link w:val="4"/>
    <w:qFormat/>
    <w:uiPriority w:val="0"/>
    <w:rPr>
      <w:rFonts w:ascii="黑体" w:hAnsi="黑体" w:eastAsia="黑体" w:cs="Times New Roman"/>
      <w:sz w:val="32"/>
      <w:szCs w:val="24"/>
    </w:rPr>
  </w:style>
  <w:style w:type="character" w:customStyle="1" w:styleId="75">
    <w:name w:val="标题 3 Char"/>
    <w:basedOn w:val="22"/>
    <w:link w:val="5"/>
    <w:semiHidden/>
    <w:qFormat/>
    <w:uiPriority w:val="9"/>
    <w:rPr>
      <w:rFonts w:ascii="等线" w:hAnsi="等线" w:eastAsia="等线" w:cs="Times New Roman"/>
      <w:b/>
      <w:bCs/>
      <w:sz w:val="32"/>
      <w:szCs w:val="32"/>
    </w:rPr>
  </w:style>
  <w:style w:type="character" w:customStyle="1" w:styleId="76">
    <w:name w:val="标题 4 Char"/>
    <w:basedOn w:val="22"/>
    <w:link w:val="6"/>
    <w:semiHidden/>
    <w:qFormat/>
    <w:uiPriority w:val="9"/>
    <w:rPr>
      <w:rFonts w:ascii="等线 Light" w:hAnsi="等线 Light" w:eastAsia="等线 Light" w:cs="Times New Roman"/>
      <w:b/>
      <w:bCs/>
      <w:sz w:val="28"/>
      <w:szCs w:val="28"/>
    </w:rPr>
  </w:style>
  <w:style w:type="character" w:customStyle="1" w:styleId="77">
    <w:name w:val="批注文字 Char"/>
    <w:basedOn w:val="22"/>
    <w:link w:val="9"/>
    <w:qFormat/>
    <w:uiPriority w:val="99"/>
    <w:rPr>
      <w:rFonts w:ascii="Calibri" w:hAnsi="Calibri" w:eastAsia="宋体" w:cs="Calibri"/>
      <w:szCs w:val="21"/>
    </w:rPr>
  </w:style>
  <w:style w:type="character" w:customStyle="1" w:styleId="78">
    <w:name w:val="正文文本 Char"/>
    <w:basedOn w:val="22"/>
    <w:link w:val="2"/>
    <w:qFormat/>
    <w:uiPriority w:val="99"/>
    <w:rPr>
      <w:rFonts w:ascii="Times New Roman" w:hAnsi="Times New Roman" w:eastAsia="宋体" w:cs="Times New Roman"/>
      <w:sz w:val="28"/>
      <w:szCs w:val="20"/>
    </w:rPr>
  </w:style>
  <w:style w:type="character" w:customStyle="1" w:styleId="79">
    <w:name w:val="正文文本_"/>
    <w:basedOn w:val="22"/>
    <w:link w:val="80"/>
    <w:qFormat/>
    <w:uiPriority w:val="0"/>
    <w:rPr>
      <w:rFonts w:ascii="MingLiU" w:hAnsi="MingLiU" w:eastAsia="MingLiU" w:cs="MingLiU"/>
      <w:spacing w:val="-20"/>
      <w:sz w:val="26"/>
      <w:szCs w:val="26"/>
      <w:shd w:val="clear" w:color="auto" w:fill="FFFFFF"/>
    </w:rPr>
  </w:style>
  <w:style w:type="paragraph" w:customStyle="1" w:styleId="80">
    <w:name w:val="正文文本1"/>
    <w:basedOn w:val="1"/>
    <w:link w:val="79"/>
    <w:qFormat/>
    <w:uiPriority w:val="0"/>
    <w:pPr>
      <w:shd w:val="clear" w:color="auto" w:fill="FFFFFF"/>
      <w:spacing w:line="554" w:lineRule="exact"/>
      <w:ind w:hanging="1720"/>
      <w:jc w:val="left"/>
    </w:pPr>
    <w:rPr>
      <w:rFonts w:ascii="MingLiU" w:hAnsi="MingLiU" w:eastAsia="MingLiU" w:cs="MingLiU"/>
      <w:spacing w:val="-20"/>
      <w:sz w:val="26"/>
      <w:szCs w:val="26"/>
    </w:rPr>
  </w:style>
  <w:style w:type="character" w:customStyle="1" w:styleId="81">
    <w:name w:val="正文文本 + Segoe UI"/>
    <w:basedOn w:val="79"/>
    <w:qFormat/>
    <w:uiPriority w:val="0"/>
    <w:rPr>
      <w:rFonts w:ascii="Segoe UI" w:hAnsi="Segoe UI" w:eastAsia="Segoe UI" w:cs="Segoe UI"/>
      <w:b/>
      <w:bCs/>
      <w:color w:val="000000"/>
      <w:spacing w:val="-10"/>
      <w:w w:val="100"/>
      <w:position w:val="0"/>
      <w:lang w:val="zh-CN" w:eastAsia="zh-CN" w:bidi="zh-CN"/>
    </w:rPr>
  </w:style>
  <w:style w:type="character" w:customStyle="1" w:styleId="82">
    <w:name w:val="标题 #1_"/>
    <w:basedOn w:val="22"/>
    <w:link w:val="83"/>
    <w:qFormat/>
    <w:uiPriority w:val="0"/>
    <w:rPr>
      <w:rFonts w:ascii="MingLiU" w:hAnsi="MingLiU" w:eastAsia="MingLiU" w:cs="MingLiU"/>
      <w:spacing w:val="-30"/>
      <w:sz w:val="46"/>
      <w:szCs w:val="46"/>
      <w:shd w:val="clear" w:color="auto" w:fill="FFFFFF"/>
    </w:rPr>
  </w:style>
  <w:style w:type="paragraph" w:customStyle="1" w:styleId="83">
    <w:name w:val="标题 #1"/>
    <w:basedOn w:val="1"/>
    <w:link w:val="82"/>
    <w:qFormat/>
    <w:uiPriority w:val="0"/>
    <w:pPr>
      <w:shd w:val="clear" w:color="auto" w:fill="FFFFFF"/>
      <w:spacing w:before="480" w:line="559" w:lineRule="exact"/>
      <w:jc w:val="center"/>
      <w:outlineLvl w:val="0"/>
    </w:pPr>
    <w:rPr>
      <w:rFonts w:ascii="MingLiU" w:hAnsi="MingLiU" w:eastAsia="MingLiU" w:cs="MingLiU"/>
      <w:spacing w:val="-30"/>
      <w:sz w:val="46"/>
      <w:szCs w:val="46"/>
    </w:rPr>
  </w:style>
  <w:style w:type="paragraph" w:customStyle="1" w:styleId="84">
    <w:name w:val="样式1"/>
    <w:basedOn w:val="73"/>
    <w:qFormat/>
    <w:uiPriority w:val="0"/>
    <w:pPr>
      <w:ind w:firstLine="0" w:firstLineChars="0"/>
      <w:jc w:val="left"/>
    </w:pPr>
    <w:rPr>
      <w:rFonts w:ascii="黑体" w:hAnsi="黑体" w:eastAsia="黑体"/>
      <w:b/>
      <w:bCs/>
      <w:sz w:val="32"/>
      <w:szCs w:val="32"/>
    </w:rPr>
  </w:style>
  <w:style w:type="paragraph" w:customStyle="1" w:styleId="85">
    <w:name w:val="样式2"/>
    <w:basedOn w:val="1"/>
    <w:qFormat/>
    <w:uiPriority w:val="0"/>
    <w:pPr>
      <w:spacing w:line="360" w:lineRule="auto"/>
      <w:ind w:firstLine="200" w:firstLineChars="200"/>
      <w:jc w:val="left"/>
    </w:pPr>
    <w:rPr>
      <w:rFonts w:ascii="等线" w:hAnsi="等线" w:eastAsia="黑体" w:cs="Times New Roman"/>
      <w:b/>
      <w:bCs/>
      <w:sz w:val="30"/>
      <w:szCs w:val="32"/>
    </w:rPr>
  </w:style>
  <w:style w:type="paragraph" w:customStyle="1" w:styleId="86">
    <w:name w:val="样式3"/>
    <w:basedOn w:val="1"/>
    <w:next w:val="1"/>
    <w:qFormat/>
    <w:uiPriority w:val="0"/>
    <w:pPr>
      <w:spacing w:line="360" w:lineRule="auto"/>
      <w:ind w:firstLine="200" w:firstLineChars="200"/>
    </w:pPr>
    <w:rPr>
      <w:rFonts w:ascii="等线" w:hAnsi="等线" w:eastAsia="宋体" w:cs="Times New Roman"/>
      <w:b/>
      <w:bCs/>
      <w:sz w:val="32"/>
      <w:szCs w:val="32"/>
    </w:rPr>
  </w:style>
  <w:style w:type="paragraph" w:customStyle="1" w:styleId="87">
    <w:name w:val="样式4"/>
    <w:basedOn w:val="1"/>
    <w:next w:val="1"/>
    <w:qFormat/>
    <w:uiPriority w:val="0"/>
    <w:pPr>
      <w:ind w:firstLine="602"/>
      <w:outlineLvl w:val="2"/>
    </w:pPr>
    <w:rPr>
      <w:rFonts w:ascii="宋体" w:hAnsi="宋体" w:eastAsia="宋体" w:cs="Times New Roman"/>
      <w:bCs/>
      <w:sz w:val="30"/>
      <w:szCs w:val="30"/>
    </w:rPr>
  </w:style>
  <w:style w:type="paragraph" w:customStyle="1" w:styleId="88">
    <w:name w:val="图例"/>
    <w:basedOn w:val="1"/>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89">
    <w:name w:val="正文_2"/>
    <w:qFormat/>
    <w:uiPriority w:val="0"/>
    <w:pPr>
      <w:widowControl w:val="0"/>
      <w:jc w:val="both"/>
    </w:pPr>
    <w:rPr>
      <w:rFonts w:ascii="Calibri" w:hAnsi="Calibri" w:eastAsia="宋体" w:cs="Times New Roman"/>
      <w:kern w:val="2"/>
      <w:sz w:val="21"/>
      <w:szCs w:val="22"/>
      <w:lang w:val="en-US" w:eastAsia="zh-CN" w:bidi="ar-SA"/>
    </w:rPr>
  </w:style>
  <w:style w:type="character" w:customStyle="1" w:styleId="90">
    <w:name w:val="NormalCharacter"/>
    <w:qFormat/>
    <w:uiPriority w:val="0"/>
  </w:style>
  <w:style w:type="character" w:customStyle="1" w:styleId="91">
    <w:name w:val="批注主题 Char"/>
    <w:basedOn w:val="77"/>
    <w:link w:val="8"/>
    <w:qFormat/>
    <w:uiPriority w:val="99"/>
    <w:rPr>
      <w:b/>
      <w:bCs/>
    </w:rPr>
  </w:style>
  <w:style w:type="paragraph" w:customStyle="1" w:styleId="92">
    <w:name w:val="正文2"/>
    <w:basedOn w:val="11"/>
    <w:qFormat/>
    <w:uiPriority w:val="99"/>
    <w:pPr>
      <w:spacing w:after="0" w:line="480" w:lineRule="exact"/>
      <w:ind w:left="0" w:leftChars="0" w:firstLine="480" w:firstLineChars="200"/>
    </w:pPr>
    <w:rPr>
      <w:rFonts w:ascii="宋体" w:hAnsi="宋体" w:eastAsia="宋体" w:cs="Times New Roman"/>
      <w:bCs/>
      <w:kern w:val="0"/>
      <w:sz w:val="24"/>
      <w:szCs w:val="24"/>
      <w:lang w:val="zh-CN"/>
    </w:rPr>
  </w:style>
  <w:style w:type="character" w:customStyle="1" w:styleId="93">
    <w:name w:val="正文文本缩进 Char"/>
    <w:basedOn w:val="22"/>
    <w:link w:val="11"/>
    <w:qFormat/>
    <w:uiPriority w:val="0"/>
  </w:style>
  <w:style w:type="paragraph" w:customStyle="1" w:styleId="94">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95">
    <w:name w:val="Table Normal"/>
    <w:semiHidden/>
    <w:unhideWhenUsed/>
    <w:qFormat/>
    <w:uiPriority w:val="2"/>
    <w:pPr>
      <w:widowControl w:val="0"/>
      <w:autoSpaceDE w:val="0"/>
      <w:autoSpaceDN w:val="0"/>
    </w:pPr>
    <w:rPr>
      <w:kern w:val="0"/>
      <w:sz w:val="22"/>
      <w:lang w:eastAsia="en-US"/>
    </w:rPr>
    <w:tblPr>
      <w:tblLayout w:type="fixed"/>
      <w:tblCellMar>
        <w:top w:w="0" w:type="dxa"/>
        <w:left w:w="0" w:type="dxa"/>
        <w:bottom w:w="0" w:type="dxa"/>
        <w:right w:w="0" w:type="dxa"/>
      </w:tblCellMar>
    </w:tblPr>
  </w:style>
  <w:style w:type="character" w:customStyle="1" w:styleId="96">
    <w:name w:val="font11"/>
    <w:basedOn w:val="22"/>
    <w:qFormat/>
    <w:uiPriority w:val="0"/>
    <w:rPr>
      <w:rFonts w:hint="eastAsia" w:ascii="宋体" w:hAnsi="宋体" w:eastAsia="宋体" w:cs="宋体"/>
      <w:color w:val="000000"/>
      <w:sz w:val="28"/>
      <w:szCs w:val="28"/>
      <w:u w:val="none"/>
    </w:rPr>
  </w:style>
  <w:style w:type="character" w:customStyle="1" w:styleId="97">
    <w:name w:val="font21"/>
    <w:basedOn w:val="22"/>
    <w:qFormat/>
    <w:uiPriority w:val="0"/>
    <w:rPr>
      <w:rFonts w:hint="eastAsia" w:ascii="宋体" w:hAnsi="宋体" w:eastAsia="宋体" w:cs="宋体"/>
      <w:color w:val="000000"/>
      <w:sz w:val="28"/>
      <w:szCs w:val="28"/>
      <w:u w:val="none"/>
      <w:vertAlign w:val="superscript"/>
    </w:rPr>
  </w:style>
  <w:style w:type="character" w:customStyle="1" w:styleId="98">
    <w:name w:val="font31"/>
    <w:basedOn w:val="22"/>
    <w:qFormat/>
    <w:uiPriority w:val="0"/>
    <w:rPr>
      <w:rFonts w:hint="eastAsia" w:ascii="宋体" w:hAnsi="宋体" w:eastAsia="宋体" w:cs="宋体"/>
      <w:color w:val="000000"/>
      <w:sz w:val="24"/>
      <w:szCs w:val="24"/>
      <w:u w:val="none"/>
      <w:vertAlign w:val="superscript"/>
    </w:rPr>
  </w:style>
  <w:style w:type="character" w:customStyle="1" w:styleId="99">
    <w:name w:val="font01"/>
    <w:basedOn w:val="22"/>
    <w:qFormat/>
    <w:uiPriority w:val="0"/>
    <w:rPr>
      <w:rFonts w:hint="eastAsia" w:ascii="宋体" w:hAnsi="宋体" w:eastAsia="宋体" w:cs="宋体"/>
      <w:color w:val="000000"/>
      <w:sz w:val="24"/>
      <w:szCs w:val="24"/>
      <w:u w:val="none"/>
      <w:vertAlign w:val="superscript"/>
    </w:rPr>
  </w:style>
  <w:style w:type="character" w:customStyle="1" w:styleId="100">
    <w:name w:val="font41"/>
    <w:basedOn w:val="22"/>
    <w:qFormat/>
    <w:uiPriority w:val="0"/>
    <w:rPr>
      <w:rFonts w:hint="eastAsia" w:ascii="宋体" w:hAnsi="宋体" w:eastAsia="宋体" w:cs="宋体"/>
      <w:color w:val="000000"/>
      <w:sz w:val="24"/>
      <w:szCs w:val="24"/>
      <w:u w:val="none"/>
      <w:vertAlign w:val="superscript"/>
    </w:rPr>
  </w:style>
  <w:style w:type="paragraph" w:customStyle="1" w:styleId="101">
    <w:name w:val="标书正文1"/>
    <w:basedOn w:val="1"/>
    <w:qFormat/>
    <w:uiPriority w:val="0"/>
    <w:pPr>
      <w:spacing w:line="520" w:lineRule="exact"/>
      <w:ind w:firstLine="640" w:firstLineChars="200"/>
    </w:pPr>
    <w:rPr>
      <w:rFonts w:ascii="Times New Roman" w:hAnsi="Times New Roman" w:eastAsia="宋体"/>
    </w:rPr>
  </w:style>
  <w:style w:type="character" w:customStyle="1" w:styleId="102">
    <w:name w:val="form-item-field"/>
    <w:basedOn w:val="22"/>
    <w:qFormat/>
    <w:uiPriority w:val="0"/>
    <w:rPr>
      <w:sz w:val="16"/>
      <w:szCs w:val="16"/>
    </w:rPr>
  </w:style>
  <w:style w:type="character" w:customStyle="1" w:styleId="103">
    <w:name w:val="sort-name-span"/>
    <w:basedOn w:val="22"/>
    <w:qFormat/>
    <w:uiPriority w:val="0"/>
  </w:style>
  <w:style w:type="character" w:customStyle="1" w:styleId="104">
    <w:name w:val="leaf"/>
    <w:basedOn w:val="22"/>
    <w:qFormat/>
    <w:uiPriority w:val="0"/>
  </w:style>
  <w:style w:type="character" w:customStyle="1" w:styleId="105">
    <w:name w:val="root"/>
    <w:basedOn w:val="22"/>
    <w:qFormat/>
    <w:uiPriority w:val="0"/>
  </w:style>
  <w:style w:type="character" w:customStyle="1" w:styleId="106">
    <w:name w:val="category-text"/>
    <w:basedOn w:val="22"/>
    <w:qFormat/>
    <w:uiPriority w:val="0"/>
    <w:rPr>
      <w:b/>
      <w:shd w:val="clear" w:fill="FFFFFF"/>
    </w:rPr>
  </w:style>
  <w:style w:type="character" w:customStyle="1" w:styleId="107">
    <w:name w:val="flow-name-span"/>
    <w:basedOn w:val="22"/>
    <w:qFormat/>
    <w:uiPriority w:val="0"/>
  </w:style>
  <w:style w:type="character" w:customStyle="1" w:styleId="108">
    <w:name w:val="form-textarea-print1"/>
    <w:basedOn w:val="22"/>
    <w:qFormat/>
    <w:uiPriority w:val="0"/>
    <w:rPr>
      <w:rFonts w:ascii="微软雅黑" w:hAnsi="微软雅黑" w:eastAsia="微软雅黑" w:cs="微软雅黑"/>
      <w:sz w:val="14"/>
      <w:szCs w:val="14"/>
    </w:rPr>
  </w:style>
  <w:style w:type="character" w:customStyle="1" w:styleId="109">
    <w:name w:val="font71"/>
    <w:basedOn w:val="22"/>
    <w:qFormat/>
    <w:uiPriority w:val="0"/>
    <w:rPr>
      <w:rFonts w:hint="eastAsia" w:ascii="仿宋" w:hAnsi="仿宋" w:eastAsia="仿宋" w:cs="仿宋"/>
      <w:b/>
      <w:bCs/>
      <w:color w:val="000000"/>
      <w:sz w:val="22"/>
      <w:szCs w:val="22"/>
      <w:u w:val="none"/>
    </w:rPr>
  </w:style>
  <w:style w:type="character" w:customStyle="1" w:styleId="110">
    <w:name w:val="font91"/>
    <w:basedOn w:val="22"/>
    <w:qFormat/>
    <w:uiPriority w:val="0"/>
    <w:rPr>
      <w:rFonts w:hint="eastAsia" w:ascii="仿宋" w:hAnsi="仿宋" w:eastAsia="仿宋" w:cs="仿宋"/>
      <w:color w:val="000000"/>
      <w:sz w:val="24"/>
      <w:szCs w:val="24"/>
      <w:u w:val="none"/>
    </w:rPr>
  </w:style>
  <w:style w:type="character" w:customStyle="1" w:styleId="111">
    <w:name w:val="font112"/>
    <w:basedOn w:val="22"/>
    <w:qFormat/>
    <w:uiPriority w:val="0"/>
    <w:rPr>
      <w:rFonts w:ascii="Arial" w:hAnsi="Arial" w:cs="Arial"/>
      <w:color w:val="000000"/>
      <w:sz w:val="24"/>
      <w:szCs w:val="24"/>
      <w:u w:val="none"/>
    </w:rPr>
  </w:style>
  <w:style w:type="character" w:customStyle="1" w:styleId="112">
    <w:name w:val="font81"/>
    <w:basedOn w:val="22"/>
    <w:qFormat/>
    <w:uiPriority w:val="0"/>
    <w:rPr>
      <w:rFonts w:hint="eastAsia" w:ascii="仿宋" w:hAnsi="仿宋" w:eastAsia="仿宋" w:cs="仿宋"/>
      <w:color w:val="000000"/>
      <w:sz w:val="24"/>
      <w:szCs w:val="24"/>
      <w:u w:val="none"/>
    </w:rPr>
  </w:style>
  <w:style w:type="character" w:customStyle="1" w:styleId="113">
    <w:name w:val="font121"/>
    <w:basedOn w:val="22"/>
    <w:qFormat/>
    <w:uiPriority w:val="0"/>
    <w:rPr>
      <w:rFonts w:hint="default" w:ascii="Arial" w:hAnsi="Arial" w:cs="Arial"/>
      <w:color w:val="000000"/>
      <w:sz w:val="24"/>
      <w:szCs w:val="24"/>
      <w:u w:val="none"/>
    </w:rPr>
  </w:style>
  <w:style w:type="character" w:customStyle="1" w:styleId="114">
    <w:name w:val="font101"/>
    <w:basedOn w:val="22"/>
    <w:qFormat/>
    <w:uiPriority w:val="0"/>
    <w:rPr>
      <w:rFonts w:hint="eastAsia" w:ascii="仿宋" w:hAnsi="仿宋" w:eastAsia="仿宋" w:cs="仿宋"/>
      <w:color w:val="000000"/>
      <w:sz w:val="24"/>
      <w:szCs w:val="24"/>
      <w:u w:val="none"/>
      <w:vertAlign w:val="superscript"/>
    </w:rPr>
  </w:style>
  <w:style w:type="paragraph" w:customStyle="1" w:styleId="115">
    <w:name w:val="c正文"/>
    <w:basedOn w:val="1"/>
    <w:qFormat/>
    <w:uiPriority w:val="99"/>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1081</Words>
  <Characters>1157</Characters>
  <Lines>2</Lines>
  <Paragraphs>1</Paragraphs>
  <TotalTime>5</TotalTime>
  <ScaleCrop>false</ScaleCrop>
  <LinksUpToDate>false</LinksUpToDate>
  <CharactersWithSpaces>1270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2017-10-12T06:56:00Z</dcterms:created>
  <dc:creator>Ld</dc:creator>
  <cp:lastModifiedBy>Administrator</cp:lastModifiedBy>
  <cp:lastPrinted>2024-03-28T07:23:00Z</cp:lastPrinted>
  <dcterms:modified xsi:type="dcterms:W3CDTF">2026-09-30T07:26:50Z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2910610CDE4441788F7AC0AF86615839_13</vt:lpwstr>
  </property>
  <property fmtid="{D5CDD505-2E9C-101B-9397-08002B2CF9AE}" pid="4" name="KSOTemplateDocerSaveRecord">
    <vt:lpwstr>eyJoZGlkIjoiOTA3ZmZlOWI0ZTE5NThiN2Q3OWZlMjhiYTZjOTcxZDAifQ==</vt:lpwstr>
  </property>
</Properties>
</file>