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default" w:asciiTheme="majorEastAsia" w:hAnsiTheme="majorEastAsia" w:eastAsiaTheme="majorEastAsia" w:cstheme="majorEastAsia"/>
          <w:b/>
          <w:bCs/>
          <w:color w:val="333333"/>
          <w:sz w:val="32"/>
          <w:szCs w:val="32"/>
          <w:lang w:val="en-US" w:eastAsia="zh-CN"/>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2026年世界职业院校技能大赛畜牧生产赛道竞赛服务</w:t>
      </w:r>
      <w:r>
        <w:rPr>
          <w:rFonts w:hint="default" w:asciiTheme="majorEastAsia" w:hAnsiTheme="majorEastAsia" w:eastAsiaTheme="majorEastAsia" w:cstheme="majorEastAsia"/>
          <w:b/>
          <w:bCs/>
          <w:color w:val="333333"/>
          <w:sz w:val="32"/>
          <w:szCs w:val="32"/>
          <w:lang w:val="en-US" w:eastAsia="zh-CN"/>
        </w:rPr>
        <w:t>”</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bookmarkStart w:id="0" w:name="_GoBack"/>
      <w:bookmarkEnd w:id="0"/>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4</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13</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2026年世界职业院校技能大赛畜牧生产赛道竞赛服务</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2、报价为包干价，含税费、人工费等一切费用。</w:t>
      </w: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pStyle w:val="73"/>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leftChars="0"/>
        <w:jc w:val="center"/>
        <w:textAlignment w:val="auto"/>
        <w:rPr>
          <w:rFonts w:hint="eastAsia" w:ascii="方正小标宋_GBK" w:hAnsi="方正小标宋_GBK" w:eastAsia="方正小标宋_GBK" w:cs="方正小标宋_GBK"/>
          <w:kern w:val="0"/>
          <w:sz w:val="44"/>
          <w:szCs w:val="44"/>
          <w:lang w:val="en-US" w:eastAsia="zh-CN"/>
        </w:rPr>
      </w:pPr>
      <w:r>
        <w:rPr>
          <w:rFonts w:hint="eastAsia" w:ascii="Calibri" w:hAnsi="Calibri" w:cs="Times New Roman"/>
          <w:b/>
          <w:bCs/>
          <w:color w:val="000000"/>
          <w:sz w:val="36"/>
          <w:szCs w:val="44"/>
          <w:lang w:val="en-US" w:eastAsia="zh-CN"/>
        </w:rPr>
        <w:t xml:space="preserve">  </w:t>
      </w:r>
      <w:r>
        <w:rPr>
          <w:rFonts w:hint="eastAsia" w:ascii="方正小标宋_GBK" w:hAnsi="方正小标宋_GBK" w:eastAsia="方正小标宋_GBK" w:cs="方正小标宋_GBK"/>
          <w:kern w:val="0"/>
          <w:sz w:val="44"/>
          <w:szCs w:val="44"/>
          <w:lang w:val="en-US" w:eastAsia="zh-CN"/>
        </w:rPr>
        <w:t>2026年世界职业院校技能大赛畜牧水产赛道竞赛服务项目参数</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leftChars="0" w:firstLine="880" w:firstLineChars="200"/>
        <w:jc w:val="center"/>
        <w:textAlignment w:val="auto"/>
        <w:rPr>
          <w:rFonts w:hint="eastAsia" w:ascii="方正小标宋_GBK" w:hAnsi="方正小标宋_GBK" w:eastAsia="方正小标宋_GBK" w:cs="方正小标宋_GBK"/>
          <w:kern w:val="0"/>
          <w:sz w:val="44"/>
          <w:szCs w:val="44"/>
          <w:lang w:val="en-US" w:eastAsia="zh-CN" w:bidi="ar-SA"/>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leftChars="0" w:firstLine="880" w:firstLineChars="200"/>
        <w:jc w:val="center"/>
        <w:textAlignment w:val="auto"/>
        <w:rPr>
          <w:rFonts w:hint="eastAsia" w:ascii="方正小标宋_GBK" w:hAnsi="方正小标宋_GBK" w:eastAsia="方正小标宋_GBK" w:cs="方正小标宋_GBK"/>
          <w:kern w:val="0"/>
          <w:sz w:val="44"/>
          <w:szCs w:val="44"/>
          <w:lang w:val="en-US" w:eastAsia="zh-CN" w:bidi="ar-SA"/>
        </w:rPr>
      </w:pPr>
    </w:p>
    <w:p>
      <w:pPr>
        <w:numPr>
          <w:ilvl w:val="0"/>
          <w:numId w:val="0"/>
        </w:numPr>
        <w:autoSpaceDE w:val="0"/>
        <w:autoSpaceDN w:val="0"/>
        <w:adjustRightInd w:val="0"/>
        <w:snapToGrid w:val="0"/>
        <w:spacing w:line="360" w:lineRule="auto"/>
        <w:ind w:leftChars="0" w:firstLine="640" w:firstLineChars="20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一、项目目标</w:t>
      </w:r>
    </w:p>
    <w:p>
      <w:pPr>
        <w:numPr>
          <w:ilvl w:val="0"/>
          <w:numId w:val="0"/>
        </w:numPr>
        <w:autoSpaceDE w:val="0"/>
        <w:autoSpaceDN w:val="0"/>
        <w:adjustRightInd w:val="0"/>
        <w:snapToGrid w:val="0"/>
        <w:spacing w:line="360" w:lineRule="auto"/>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供应商为我校参加2026年世界职业院校技能大赛畜牧水产赛道竞赛提供专家咨询服务，针对我校具体项目提出具体备赛指导建议，挖掘项目内涵、打磨项目创新，并督促实施，以期获得较好成绩。</w:t>
      </w:r>
    </w:p>
    <w:p>
      <w:pPr>
        <w:widowControl/>
        <w:numPr>
          <w:ilvl w:val="0"/>
          <w:numId w:val="1"/>
        </w:numPr>
        <w:autoSpaceDE w:val="0"/>
        <w:autoSpaceDN w:val="0"/>
        <w:adjustRightInd w:val="0"/>
        <w:snapToGrid w:val="0"/>
        <w:spacing w:line="360" w:lineRule="auto"/>
        <w:ind w:firstLine="640" w:firstLineChars="20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服务内容</w:t>
      </w:r>
    </w:p>
    <w:tbl>
      <w:tblPr>
        <w:tblStyle w:val="35"/>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785"/>
        <w:gridCol w:w="3380"/>
        <w:gridCol w:w="1242"/>
        <w:gridCol w:w="840"/>
        <w:gridCol w:w="1308"/>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537" w:type="dxa"/>
            <w:noWrap/>
            <w:vAlign w:val="top"/>
          </w:tcPr>
          <w:p>
            <w:pPr>
              <w:keepNext/>
              <w:keepLines/>
              <w:spacing w:before="340" w:after="330" w:line="240" w:lineRule="auto"/>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序号</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项目</w:t>
            </w:r>
          </w:p>
        </w:tc>
        <w:tc>
          <w:tcPr>
            <w:tcW w:w="338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参数</w:t>
            </w:r>
          </w:p>
        </w:tc>
        <w:tc>
          <w:tcPr>
            <w:tcW w:w="1242" w:type="dxa"/>
            <w:noWrap/>
            <w:vAlign w:val="top"/>
          </w:tcPr>
          <w:p>
            <w:pPr>
              <w:keepNext/>
              <w:keepLines/>
              <w:spacing w:before="340" w:after="330" w:line="240" w:lineRule="auto"/>
              <w:outlineLvl w:val="0"/>
              <w:rPr>
                <w:rFonts w:hint="default" w:ascii="Times New Roman" w:hAnsi="Times New Roman" w:eastAsia="仿宋_GB2312" w:cs="Times New Roman"/>
                <w:b w:val="0"/>
                <w:bCs w:val="0"/>
                <w:kern w:val="44"/>
                <w:sz w:val="24"/>
                <w:szCs w:val="24"/>
                <w:lang w:val="en-US" w:eastAsia="zh-CN" w:bidi="ar-SA"/>
              </w:rPr>
            </w:pPr>
            <w:r>
              <w:rPr>
                <w:rFonts w:hint="eastAsia" w:ascii="Times New Roman" w:hAnsi="Times New Roman" w:eastAsia="仿宋_GB2312" w:cs="Times New Roman"/>
                <w:b w:val="0"/>
                <w:bCs w:val="0"/>
                <w:kern w:val="44"/>
                <w:sz w:val="24"/>
                <w:szCs w:val="24"/>
                <w:lang w:val="en-US" w:eastAsia="zh-CN" w:bidi="ar-SA"/>
              </w:rPr>
              <w:t>最高限</w:t>
            </w:r>
            <w:r>
              <w:rPr>
                <w:rFonts w:hint="default" w:ascii="Times New Roman" w:hAnsi="Times New Roman" w:eastAsia="仿宋_GB2312" w:cs="Times New Roman"/>
                <w:b w:val="0"/>
                <w:bCs w:val="0"/>
                <w:kern w:val="44"/>
                <w:sz w:val="24"/>
                <w:szCs w:val="24"/>
                <w:lang w:val="en-US" w:eastAsia="zh-CN" w:bidi="ar-SA"/>
              </w:rPr>
              <w:t>价</w:t>
            </w:r>
            <w:r>
              <w:rPr>
                <w:rFonts w:hint="eastAsia" w:ascii="Times New Roman" w:hAnsi="Times New Roman" w:eastAsia="仿宋_GB2312" w:cs="Times New Roman"/>
                <w:b w:val="0"/>
                <w:bCs w:val="0"/>
                <w:kern w:val="44"/>
                <w:sz w:val="24"/>
                <w:szCs w:val="24"/>
                <w:lang w:val="en-US" w:eastAsia="zh-CN" w:bidi="ar-SA"/>
              </w:rPr>
              <w:t>（元）</w:t>
            </w:r>
          </w:p>
        </w:tc>
        <w:tc>
          <w:tcPr>
            <w:tcW w:w="840" w:type="dxa"/>
            <w:noWrap/>
            <w:vAlign w:val="top"/>
          </w:tcPr>
          <w:p>
            <w:pPr>
              <w:keepNext/>
              <w:keepLines/>
              <w:spacing w:before="340" w:after="330" w:line="240" w:lineRule="auto"/>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数量</w:t>
            </w:r>
          </w:p>
        </w:tc>
        <w:tc>
          <w:tcPr>
            <w:tcW w:w="1308" w:type="dxa"/>
            <w:noWrap/>
            <w:vAlign w:val="top"/>
          </w:tcPr>
          <w:p>
            <w:pPr>
              <w:keepNext/>
              <w:keepLines/>
              <w:spacing w:before="340" w:after="330" w:line="240" w:lineRule="auto"/>
              <w:outlineLvl w:val="0"/>
              <w:rPr>
                <w:rFonts w:hint="default" w:ascii="Times New Roman" w:hAnsi="Times New Roman" w:eastAsia="仿宋_GB2312" w:cs="Times New Roman"/>
                <w:b w:val="0"/>
                <w:bCs w:val="0"/>
                <w:kern w:val="44"/>
                <w:sz w:val="24"/>
                <w:szCs w:val="24"/>
                <w:lang w:val="en-US" w:eastAsia="zh-CN" w:bidi="ar-SA"/>
              </w:rPr>
            </w:pPr>
            <w:r>
              <w:rPr>
                <w:rFonts w:hint="eastAsia" w:ascii="Times New Roman" w:hAnsi="Times New Roman" w:eastAsia="仿宋_GB2312" w:cs="Times New Roman"/>
                <w:b w:val="0"/>
                <w:bCs w:val="0"/>
                <w:kern w:val="44"/>
                <w:sz w:val="24"/>
                <w:szCs w:val="24"/>
                <w:lang w:val="en-US" w:eastAsia="zh-CN" w:bidi="ar-SA"/>
              </w:rPr>
              <w:t>报价（元）</w:t>
            </w:r>
          </w:p>
        </w:tc>
        <w:tc>
          <w:tcPr>
            <w:tcW w:w="1469" w:type="dxa"/>
            <w:noWrap/>
            <w:vAlign w:val="top"/>
          </w:tcPr>
          <w:p>
            <w:pPr>
              <w:keepNext/>
              <w:keepLines/>
              <w:spacing w:before="340" w:after="330" w:line="240" w:lineRule="auto"/>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方案</w:t>
            </w:r>
          </w:p>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介绍</w:t>
            </w:r>
          </w:p>
        </w:tc>
        <w:tc>
          <w:tcPr>
            <w:tcW w:w="3380" w:type="dxa"/>
            <w:noWrap w:val="0"/>
            <w:vAlign w:val="top"/>
          </w:tcPr>
          <w:p>
            <w:pPr>
              <w:keepNext/>
              <w:keepLines/>
              <w:spacing w:before="340" w:after="330" w:line="240" w:lineRule="auto"/>
              <w:jc w:val="both"/>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1、具备专业的沟通团队，能够熟练向客户介绍赛事方案及选题，并详细阐述培训思路。</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0</w:t>
            </w: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7"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2</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方案</w:t>
            </w:r>
          </w:p>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设计</w:t>
            </w:r>
          </w:p>
        </w:tc>
        <w:tc>
          <w:tcPr>
            <w:tcW w:w="3380" w:type="dxa"/>
            <w:noWrap w:val="0"/>
            <w:vAlign w:val="top"/>
          </w:tcPr>
          <w:p>
            <w:pPr>
              <w:keepNext/>
              <w:keepLines/>
              <w:spacing w:before="340" w:after="330" w:line="240" w:lineRule="auto"/>
              <w:jc w:val="both"/>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1、结合实际案例进行方案设计，案例需与本次赛事具有一定的相关性和参考价值。​</w:t>
            </w:r>
            <w:r>
              <w:rPr>
                <w:rFonts w:hint="default" w:ascii="Times New Roman" w:hAnsi="Times New Roman" w:eastAsia="仿宋_GB2312" w:cs="Times New Roman"/>
                <w:b w:val="0"/>
                <w:bCs w:val="0"/>
                <w:kern w:val="44"/>
                <w:sz w:val="24"/>
                <w:szCs w:val="24"/>
                <w:lang w:val="en-US" w:eastAsia="zh-CN" w:bidi="ar-SA"/>
              </w:rPr>
              <w:br w:type="textWrapping"/>
            </w:r>
            <w:r>
              <w:rPr>
                <w:rFonts w:hint="default" w:ascii="Times New Roman" w:hAnsi="Times New Roman" w:eastAsia="仿宋_GB2312" w:cs="Times New Roman"/>
                <w:b w:val="0"/>
                <w:bCs w:val="0"/>
                <w:kern w:val="44"/>
                <w:sz w:val="24"/>
                <w:szCs w:val="24"/>
                <w:lang w:val="en-US" w:eastAsia="zh-CN" w:bidi="ar-SA"/>
              </w:rPr>
              <w:t>2、清晰阐述技术实现思路和技术目标，同步技术逻辑思路，突出创新融合和创新点，提供完整的人员分工任务分工岗位简介，分工需明确、合理，各岗位人员职责清晰。</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5,000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3</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技术方案实施</w:t>
            </w:r>
          </w:p>
        </w:tc>
        <w:tc>
          <w:tcPr>
            <w:tcW w:w="3380" w:type="dxa"/>
            <w:noWrap w:val="0"/>
            <w:vAlign w:val="top"/>
          </w:tcPr>
          <w:p>
            <w:pPr>
              <w:keepNext/>
              <w:keepLines/>
              <w:spacing w:before="340" w:after="330" w:line="240" w:lineRule="auto"/>
              <w:jc w:val="both"/>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1、制定详细的技术方案实施计划，包括实施步骤、时间节点和质量控制措施等。</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5,000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5"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4</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PPT初稿整理</w:t>
            </w:r>
          </w:p>
        </w:tc>
        <w:tc>
          <w:tcPr>
            <w:tcW w:w="3380" w:type="dxa"/>
            <w:noWrap w:val="0"/>
            <w:vAlign w:val="top"/>
          </w:tcPr>
          <w:p>
            <w:pPr>
              <w:keepNext/>
              <w:keepLines/>
              <w:spacing w:before="340" w:after="330" w:line="240" w:lineRule="auto"/>
              <w:jc w:val="both"/>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1、整理的 PPT 初稿需包含项目背景、人员分工、项目实施、主要成果、应用价值、创新创意等内容，内容需完整、准确，逻辑清晰。​</w:t>
            </w:r>
            <w:r>
              <w:rPr>
                <w:rFonts w:hint="default" w:ascii="Times New Roman" w:hAnsi="Times New Roman" w:eastAsia="仿宋_GB2312" w:cs="Times New Roman"/>
                <w:b w:val="0"/>
                <w:bCs w:val="0"/>
                <w:kern w:val="44"/>
                <w:sz w:val="24"/>
                <w:szCs w:val="24"/>
                <w:lang w:val="en-US" w:eastAsia="zh-CN" w:bidi="ar-SA"/>
              </w:rPr>
              <w:br w:type="textWrapping"/>
            </w:r>
            <w:r>
              <w:rPr>
                <w:rFonts w:hint="default" w:ascii="Times New Roman" w:hAnsi="Times New Roman" w:eastAsia="仿宋_GB2312" w:cs="Times New Roman"/>
                <w:b w:val="0"/>
                <w:bCs w:val="0"/>
                <w:kern w:val="44"/>
                <w:sz w:val="24"/>
                <w:szCs w:val="24"/>
                <w:lang w:val="en-US" w:eastAsia="zh-CN" w:bidi="ar-SA"/>
              </w:rPr>
              <w:t>2、PPT 设计需美观、大方，符合赛事主题和风格，文字表述简洁明了，图表运用合理。</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8,000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5</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操作指导阶段</w:t>
            </w:r>
          </w:p>
        </w:tc>
        <w:tc>
          <w:tcPr>
            <w:tcW w:w="3380" w:type="dxa"/>
            <w:noWrap w:val="0"/>
            <w:vAlign w:val="top"/>
          </w:tcPr>
          <w:p>
            <w:pPr>
              <w:keepNext/>
              <w:keepLines/>
              <w:spacing w:before="340" w:after="330" w:line="240" w:lineRule="auto"/>
              <w:jc w:val="both"/>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1、安排专业的指导人员进行演示过程指导练习测试，指导人员需有 2 年以上相关指导经验。​</w:t>
            </w:r>
            <w:r>
              <w:rPr>
                <w:rFonts w:hint="default" w:ascii="Times New Roman" w:hAnsi="Times New Roman" w:eastAsia="仿宋_GB2312" w:cs="Times New Roman"/>
                <w:b w:val="0"/>
                <w:bCs w:val="0"/>
                <w:kern w:val="44"/>
                <w:sz w:val="24"/>
                <w:szCs w:val="24"/>
                <w:lang w:val="en-US" w:eastAsia="zh-CN" w:bidi="ar-SA"/>
              </w:rPr>
              <w:br w:type="textWrapping"/>
            </w:r>
            <w:r>
              <w:rPr>
                <w:rFonts w:hint="default" w:ascii="Times New Roman" w:hAnsi="Times New Roman" w:eastAsia="仿宋_GB2312" w:cs="Times New Roman"/>
                <w:b w:val="0"/>
                <w:bCs w:val="0"/>
                <w:kern w:val="44"/>
                <w:sz w:val="24"/>
                <w:szCs w:val="24"/>
                <w:lang w:val="en-US" w:eastAsia="zh-CN" w:bidi="ar-SA"/>
              </w:rPr>
              <w:t>2、制定详细的操作指导计划，包括指导内容、方式、时间安排等，确保参与人员能够熟练掌握操作技能。</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7,000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1"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6</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PPT思路指导</w:t>
            </w:r>
          </w:p>
        </w:tc>
        <w:tc>
          <w:tcPr>
            <w:tcW w:w="3380" w:type="dxa"/>
            <w:noWrap w:val="0"/>
            <w:vAlign w:val="top"/>
          </w:tcPr>
          <w:p>
            <w:pPr>
              <w:keepNext/>
              <w:keepLines/>
              <w:spacing w:before="340" w:after="330" w:line="240" w:lineRule="auto"/>
              <w:jc w:val="both"/>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1、提供专业的 PPT 思路指导培训，培训人员需有丰富的 PPT 制作和讲解经验，能够指导出话术初稿并进行练习优化。​</w:t>
            </w:r>
            <w:r>
              <w:rPr>
                <w:rFonts w:hint="default" w:ascii="Times New Roman" w:hAnsi="Times New Roman" w:eastAsia="仿宋_GB2312" w:cs="Times New Roman"/>
                <w:b w:val="0"/>
                <w:bCs w:val="0"/>
                <w:kern w:val="44"/>
                <w:sz w:val="24"/>
                <w:szCs w:val="24"/>
                <w:lang w:val="en-US" w:eastAsia="zh-CN" w:bidi="ar-SA"/>
              </w:rPr>
              <w:br w:type="textWrapping"/>
            </w:r>
            <w:r>
              <w:rPr>
                <w:rFonts w:hint="default" w:ascii="Times New Roman" w:hAnsi="Times New Roman" w:eastAsia="仿宋_GB2312" w:cs="Times New Roman"/>
                <w:b w:val="0"/>
                <w:bCs w:val="0"/>
                <w:kern w:val="44"/>
                <w:sz w:val="24"/>
                <w:szCs w:val="24"/>
                <w:lang w:val="en-US" w:eastAsia="zh-CN" w:bidi="ar-SA"/>
              </w:rPr>
              <w:t>2、培训内容需涵盖 PPT 制作思路、讲解技巧、话术设计等方面，培训方式可采用理论讲解、案例分析、实践操作等多种形式</w:t>
            </w:r>
            <w:r>
              <w:rPr>
                <w:rFonts w:hint="default" w:ascii="Times New Roman" w:hAnsi="Times New Roman" w:eastAsia="仿宋_GB2312" w:cs="Times New Roman"/>
                <w:b w:val="0"/>
                <w:bCs w:val="0"/>
                <w:kern w:val="44"/>
                <w:sz w:val="24"/>
                <w:szCs w:val="24"/>
                <w:lang w:val="en-US" w:eastAsia="zh-CN" w:bidi="ar-SA"/>
              </w:rPr>
              <w:br w:type="textWrapping"/>
            </w:r>
            <w:r>
              <w:rPr>
                <w:rFonts w:hint="default" w:ascii="Times New Roman" w:hAnsi="Times New Roman" w:eastAsia="仿宋_GB2312" w:cs="Times New Roman"/>
                <w:b w:val="0"/>
                <w:bCs w:val="0"/>
                <w:kern w:val="44"/>
                <w:sz w:val="24"/>
                <w:szCs w:val="24"/>
                <w:lang w:val="en-US" w:eastAsia="zh-CN" w:bidi="ar-SA"/>
              </w:rPr>
              <w:t>3、协助完成PPT制作优化等工作，共同完成最PPT最中稿确定。</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5,000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7</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一稿</w:t>
            </w:r>
          </w:p>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完成</w:t>
            </w:r>
          </w:p>
        </w:tc>
        <w:tc>
          <w:tcPr>
            <w:tcW w:w="3380" w:type="dxa"/>
            <w:noWrap w:val="0"/>
            <w:vAlign w:val="top"/>
          </w:tcPr>
          <w:p>
            <w:pPr>
              <w:keepNext/>
              <w:keepLines/>
              <w:spacing w:before="340" w:after="330" w:line="240" w:lineRule="auto"/>
              <w:jc w:val="both"/>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1、安排专业的指导人员进行路演练习，及时发现并处理错误问题，指导人员需有丰富的路演指导经验。​</w:t>
            </w:r>
            <w:r>
              <w:rPr>
                <w:rFonts w:hint="default" w:ascii="Times New Roman" w:hAnsi="Times New Roman" w:eastAsia="仿宋_GB2312" w:cs="Times New Roman"/>
                <w:b w:val="0"/>
                <w:bCs w:val="0"/>
                <w:kern w:val="44"/>
                <w:sz w:val="24"/>
                <w:szCs w:val="24"/>
                <w:lang w:val="en-US" w:eastAsia="zh-CN" w:bidi="ar-SA"/>
              </w:rPr>
              <w:br w:type="textWrapping"/>
            </w:r>
            <w:r>
              <w:rPr>
                <w:rFonts w:hint="default" w:ascii="Times New Roman" w:hAnsi="Times New Roman" w:eastAsia="仿宋_GB2312" w:cs="Times New Roman"/>
                <w:b w:val="0"/>
                <w:bCs w:val="0"/>
                <w:kern w:val="44"/>
                <w:sz w:val="24"/>
                <w:szCs w:val="24"/>
                <w:lang w:val="en-US" w:eastAsia="zh-CN" w:bidi="ar-SA"/>
              </w:rPr>
              <w:t>2、制定详细的路演练习计划，包括练习内容、方式、时间安排等，确保路演效果。</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10,000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8</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二稿</w:t>
            </w:r>
          </w:p>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完成</w:t>
            </w:r>
          </w:p>
        </w:tc>
        <w:tc>
          <w:tcPr>
            <w:tcW w:w="3380" w:type="dxa"/>
            <w:noWrap w:val="0"/>
            <w:vAlign w:val="top"/>
          </w:tcPr>
          <w:p>
            <w:pPr>
              <w:keepNext/>
              <w:keepLines/>
              <w:spacing w:before="340" w:after="330" w:line="240" w:lineRule="auto"/>
              <w:jc w:val="both"/>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1、邀请行业专家进行路演练习指导，专家需有较高的行业知名度和丰富的赛事评审经验。​</w:t>
            </w:r>
            <w:r>
              <w:rPr>
                <w:rFonts w:hint="default" w:ascii="Times New Roman" w:hAnsi="Times New Roman" w:eastAsia="仿宋_GB2312" w:cs="Times New Roman"/>
                <w:b w:val="0"/>
                <w:bCs w:val="0"/>
                <w:kern w:val="44"/>
                <w:sz w:val="24"/>
                <w:szCs w:val="24"/>
                <w:lang w:val="en-US" w:eastAsia="zh-CN" w:bidi="ar-SA"/>
              </w:rPr>
              <w:br w:type="textWrapping"/>
            </w:r>
            <w:r>
              <w:rPr>
                <w:rFonts w:hint="default" w:ascii="Times New Roman" w:hAnsi="Times New Roman" w:eastAsia="仿宋_GB2312" w:cs="Times New Roman"/>
                <w:b w:val="0"/>
                <w:bCs w:val="0"/>
                <w:kern w:val="44"/>
                <w:sz w:val="24"/>
                <w:szCs w:val="24"/>
                <w:lang w:val="en-US" w:eastAsia="zh-CN" w:bidi="ar-SA"/>
              </w:rPr>
              <w:t>2、针对话术表达、讲解逻辑及技术展示内容问题进行优化，提供详细的优化建议和方案。</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10,000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9</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三稿</w:t>
            </w:r>
          </w:p>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完成</w:t>
            </w:r>
          </w:p>
        </w:tc>
        <w:tc>
          <w:tcPr>
            <w:tcW w:w="3380" w:type="dxa"/>
            <w:noWrap w:val="0"/>
            <w:vAlign w:val="top"/>
          </w:tcPr>
          <w:p>
            <w:pPr>
              <w:keepNext/>
              <w:keepLines/>
              <w:spacing w:before="340" w:after="330" w:line="240" w:lineRule="auto"/>
              <w:jc w:val="both"/>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1、邀请行业专家进行路演练习指导，从动作表情、话术与素养及提问等方面进行综合内容优化提示。​</w:t>
            </w:r>
            <w:r>
              <w:rPr>
                <w:rFonts w:hint="default" w:ascii="Times New Roman" w:hAnsi="Times New Roman" w:eastAsia="仿宋_GB2312" w:cs="Times New Roman"/>
                <w:b w:val="0"/>
                <w:bCs w:val="0"/>
                <w:kern w:val="44"/>
                <w:sz w:val="24"/>
                <w:szCs w:val="24"/>
                <w:lang w:val="en-US" w:eastAsia="zh-CN" w:bidi="ar-SA"/>
              </w:rPr>
              <w:br w:type="textWrapping"/>
            </w:r>
            <w:r>
              <w:rPr>
                <w:rFonts w:hint="default" w:ascii="Times New Roman" w:hAnsi="Times New Roman" w:eastAsia="仿宋_GB2312" w:cs="Times New Roman"/>
                <w:b w:val="0"/>
                <w:bCs w:val="0"/>
                <w:kern w:val="44"/>
                <w:sz w:val="24"/>
                <w:szCs w:val="24"/>
                <w:lang w:val="en-US" w:eastAsia="zh-CN" w:bidi="ar-SA"/>
              </w:rPr>
              <w:t>2、专家需提供全面、深入的优化意见，确保路演达到最佳效果。</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10,000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10</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参赛</w:t>
            </w:r>
          </w:p>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获奖</w:t>
            </w:r>
          </w:p>
        </w:tc>
        <w:tc>
          <w:tcPr>
            <w:tcW w:w="3380" w:type="dxa"/>
            <w:noWrap w:val="0"/>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1、指导参赛队伍获得争夺赛铜奖</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10,000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获得该项奖项绩效奖励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11</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参赛</w:t>
            </w:r>
          </w:p>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获奖</w:t>
            </w:r>
          </w:p>
        </w:tc>
        <w:tc>
          <w:tcPr>
            <w:tcW w:w="3380" w:type="dxa"/>
            <w:noWrap w:val="0"/>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1、指导参赛队伍获得争夺赛银奖</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20,000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获得该项奖项绩效奖励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537"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12</w:t>
            </w:r>
          </w:p>
        </w:tc>
        <w:tc>
          <w:tcPr>
            <w:tcW w:w="785"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参赛</w:t>
            </w:r>
          </w:p>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获奖</w:t>
            </w:r>
          </w:p>
        </w:tc>
        <w:tc>
          <w:tcPr>
            <w:tcW w:w="3380" w:type="dxa"/>
            <w:noWrap w:val="0"/>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1、指导参赛队伍获得争夺赛金奖</w:t>
            </w:r>
          </w:p>
        </w:tc>
        <w:tc>
          <w:tcPr>
            <w:tcW w:w="1242"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60，000</w:t>
            </w:r>
          </w:p>
        </w:tc>
        <w:tc>
          <w:tcPr>
            <w:tcW w:w="840"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1</w:t>
            </w:r>
          </w:p>
        </w:tc>
        <w:tc>
          <w:tcPr>
            <w:tcW w:w="1308"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p>
        </w:tc>
        <w:tc>
          <w:tcPr>
            <w:tcW w:w="1469" w:type="dxa"/>
            <w:noWrap/>
            <w:vAlign w:val="top"/>
          </w:tcPr>
          <w:p>
            <w:pPr>
              <w:keepNext/>
              <w:keepLines/>
              <w:spacing w:before="340" w:after="330" w:line="240" w:lineRule="auto"/>
              <w:jc w:val="center"/>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获得该项奖项绩效奖励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9561" w:type="dxa"/>
            <w:gridSpan w:val="7"/>
            <w:noWrap/>
            <w:vAlign w:val="top"/>
          </w:tcPr>
          <w:p>
            <w:pPr>
              <w:keepNext/>
              <w:keepLines/>
              <w:spacing w:before="340" w:after="330" w:line="240" w:lineRule="auto"/>
              <w:jc w:val="both"/>
              <w:outlineLvl w:val="0"/>
              <w:rPr>
                <w:rFonts w:hint="default" w:ascii="Times New Roman" w:hAnsi="Times New Roman" w:eastAsia="仿宋_GB2312" w:cs="Times New Roman"/>
                <w:b w:val="0"/>
                <w:bCs w:val="0"/>
                <w:kern w:val="44"/>
                <w:sz w:val="24"/>
                <w:szCs w:val="24"/>
                <w:lang w:val="en-US" w:eastAsia="zh-CN" w:bidi="ar-SA"/>
              </w:rPr>
            </w:pPr>
            <w:r>
              <w:rPr>
                <w:rFonts w:hint="default" w:ascii="Times New Roman" w:hAnsi="Times New Roman" w:eastAsia="仿宋_GB2312" w:cs="Times New Roman"/>
                <w:b w:val="0"/>
                <w:bCs w:val="0"/>
                <w:kern w:val="44"/>
                <w:sz w:val="24"/>
                <w:szCs w:val="24"/>
                <w:lang w:val="en-US" w:eastAsia="zh-CN" w:bidi="ar-SA"/>
              </w:rPr>
              <w:t>合计</w:t>
            </w:r>
            <w:r>
              <w:rPr>
                <w:rFonts w:hint="eastAsia" w:ascii="Times New Roman" w:hAnsi="Times New Roman" w:eastAsia="仿宋_GB2312" w:cs="Times New Roman"/>
                <w:b w:val="0"/>
                <w:bCs w:val="0"/>
                <w:kern w:val="44"/>
                <w:sz w:val="24"/>
                <w:szCs w:val="24"/>
                <w:lang w:val="en-US" w:eastAsia="zh-CN" w:bidi="ar-SA"/>
              </w:rPr>
              <w:t>：小写：            元、大写：                         元整。</w:t>
            </w:r>
          </w:p>
        </w:tc>
      </w:tr>
    </w:tbl>
    <w:p>
      <w:pPr>
        <w:widowControl/>
        <w:ind w:firstLine="640" w:firstLineChars="200"/>
        <w:jc w:val="left"/>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三、供应商需求</w:t>
      </w:r>
    </w:p>
    <w:p>
      <w:pPr>
        <w:adjustRightInd w:val="0"/>
        <w:snapToGrid w:val="0"/>
        <w:spacing w:line="360" w:lineRule="auto"/>
        <w:ind w:left="0" w:firstLine="643" w:firstLineChars="200"/>
        <w:jc w:val="both"/>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（一）满足《中华人民共和国政府采购法》第二十二条规定</w:t>
      </w:r>
    </w:p>
    <w:p>
      <w:pPr>
        <w:adjustRightInd w:val="0"/>
        <w:snapToGrid w:val="0"/>
        <w:spacing w:line="360" w:lineRule="auto"/>
        <w:ind w:left="0" w:firstLine="640" w:firstLineChars="200"/>
        <w:jc w:val="both"/>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1.具有独立承担民事贵任的能力，具备有效的营业执照（提供营业执照复印件）。</w:t>
      </w:r>
    </w:p>
    <w:p>
      <w:pPr>
        <w:adjustRightInd w:val="0"/>
        <w:snapToGrid w:val="0"/>
        <w:spacing w:line="360" w:lineRule="auto"/>
        <w:ind w:left="0" w:firstLine="640" w:firstLineChars="200"/>
        <w:jc w:val="both"/>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2.具有良好的商业信誉和健全的财务会计制度（提供资格条件承诺函）。</w:t>
      </w:r>
    </w:p>
    <w:p>
      <w:pPr>
        <w:adjustRightInd w:val="0"/>
        <w:snapToGrid w:val="0"/>
        <w:spacing w:line="360" w:lineRule="auto"/>
        <w:ind w:left="0" w:firstLine="640" w:firstLineChars="200"/>
        <w:jc w:val="both"/>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3.具有依法缴纳税收和社会保障资金的良好记录（提供资格条件承诺函）。</w:t>
      </w:r>
    </w:p>
    <w:p>
      <w:pPr>
        <w:adjustRightInd w:val="0"/>
        <w:snapToGrid w:val="0"/>
        <w:spacing w:line="360" w:lineRule="auto"/>
        <w:ind w:left="0" w:firstLine="640" w:firstLineChars="200"/>
        <w:jc w:val="both"/>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4.具有履行合同所必需的设备和专业技术能力（提供承诺函）。</w:t>
      </w:r>
    </w:p>
    <w:p>
      <w:pPr>
        <w:adjustRightInd w:val="0"/>
        <w:snapToGrid w:val="0"/>
        <w:spacing w:line="360" w:lineRule="auto"/>
        <w:ind w:left="0" w:firstLine="640" w:firstLineChars="200"/>
        <w:jc w:val="both"/>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5.参加政府采购活动前三年内，在经营活动中没有重大违法记录（提供资格条件承诺函）。</w:t>
      </w:r>
    </w:p>
    <w:p>
      <w:pPr>
        <w:adjustRightInd w:val="0"/>
        <w:snapToGrid w:val="0"/>
        <w:spacing w:line="360" w:lineRule="auto"/>
        <w:ind w:left="0" w:firstLine="643" w:firstLineChars="200"/>
        <w:jc w:val="both"/>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（二）满足本项目的特定资格要求（需提供相应佐证材料）</w:t>
      </w:r>
    </w:p>
    <w:p>
      <w:pPr>
        <w:adjustRightInd w:val="0"/>
        <w:snapToGrid w:val="0"/>
        <w:spacing w:line="360" w:lineRule="auto"/>
        <w:ind w:left="0" w:firstLine="640" w:firstLineChars="200"/>
        <w:jc w:val="both"/>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1.供应商团队成员在职业技能竞赛指导方面有较好的研究和实践储备，至少满足以下条件中的二条及以上：</w:t>
      </w:r>
    </w:p>
    <w:p>
      <w:pPr>
        <w:adjustRightInd w:val="0"/>
        <w:snapToGrid w:val="0"/>
        <w:spacing w:line="360" w:lineRule="auto"/>
        <w:ind w:left="0" w:firstLine="640" w:firstLineChars="200"/>
        <w:jc w:val="both"/>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①供应商团队指导获世界职业技能竞赛畜牧水产赛道金奖以上奖励；</w:t>
      </w:r>
    </w:p>
    <w:p>
      <w:pPr>
        <w:adjustRightInd w:val="0"/>
        <w:snapToGrid w:val="0"/>
        <w:spacing w:line="360" w:lineRule="auto"/>
        <w:ind w:left="0" w:firstLine="640" w:firstLineChars="200"/>
        <w:jc w:val="both"/>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②供应商团队成员应具有畜牧兽医相关专业和行业背景并在全国或区域有一定影响力；</w:t>
      </w:r>
    </w:p>
    <w:p>
      <w:pPr>
        <w:adjustRightInd w:val="0"/>
        <w:snapToGrid w:val="0"/>
        <w:spacing w:line="360" w:lineRule="auto"/>
        <w:ind w:left="0" w:firstLine="640" w:firstLineChars="200"/>
        <w:jc w:val="both"/>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③供应商团队成员在高水平核心期刊（北核及以上级别）发表过相关论文。</w:t>
      </w:r>
    </w:p>
    <w:p>
      <w:pPr>
        <w:adjustRightInd w:val="0"/>
        <w:snapToGrid w:val="0"/>
        <w:spacing w:line="360" w:lineRule="auto"/>
        <w:ind w:left="0" w:firstLine="640" w:firstLineChars="200"/>
        <w:jc w:val="both"/>
        <w:rPr>
          <w:rFonts w:hint="default"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2.供应商如果是专业检测机构须通过CNAS认证。</w:t>
      </w:r>
    </w:p>
    <w:p>
      <w:pPr>
        <w:adjustRightInd w:val="0"/>
        <w:snapToGrid w:val="0"/>
        <w:spacing w:line="360" w:lineRule="auto"/>
        <w:ind w:firstLine="640" w:firstLineChars="200"/>
        <w:jc w:val="both"/>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3.供应商团队组成合理，分工明确，原则上团队成员需具备至少1名正高级及以上职称或相当学术水平。</w:t>
      </w:r>
    </w:p>
    <w:p>
      <w:pPr>
        <w:adjustRightInd w:val="0"/>
        <w:snapToGrid w:val="0"/>
        <w:spacing w:line="360" w:lineRule="auto"/>
        <w:ind w:left="0" w:firstLine="640" w:firstLineChars="200"/>
        <w:jc w:val="both"/>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4.供应商需提供团队成员构成、专业背景及证明材料。</w:t>
      </w:r>
    </w:p>
    <w:p>
      <w:pPr>
        <w:adjustRightInd w:val="0"/>
        <w:snapToGrid w:val="0"/>
        <w:spacing w:line="360" w:lineRule="auto"/>
        <w:ind w:left="0" w:firstLine="640" w:firstLineChars="200"/>
        <w:jc w:val="both"/>
        <w:rPr>
          <w:rFonts w:hint="eastAsia" w:ascii="黑体" w:hAnsi="黑体" w:eastAsia="黑体" w:cs="黑体"/>
          <w:kern w:val="0"/>
          <w:sz w:val="32"/>
          <w:szCs w:val="32"/>
          <w:lang w:val="en-US" w:eastAsia="zh-CN" w:bidi="ar-SA"/>
        </w:rPr>
      </w:pPr>
    </w:p>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843BA"/>
    <w:multiLevelType w:val="singleLevel"/>
    <w:tmpl w:val="47A843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992BB3"/>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1F86557"/>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4597F10"/>
    <w:rsid w:val="550E655A"/>
    <w:rsid w:val="55677B7D"/>
    <w:rsid w:val="55751482"/>
    <w:rsid w:val="55A44E60"/>
    <w:rsid w:val="56521607"/>
    <w:rsid w:val="56793777"/>
    <w:rsid w:val="56D23F20"/>
    <w:rsid w:val="57524BAD"/>
    <w:rsid w:val="58696FE1"/>
    <w:rsid w:val="58967865"/>
    <w:rsid w:val="58DB0E89"/>
    <w:rsid w:val="59FD5891"/>
    <w:rsid w:val="5A2D31D7"/>
    <w:rsid w:val="5A4001CD"/>
    <w:rsid w:val="5A827677"/>
    <w:rsid w:val="5AD82E60"/>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4</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2026-04-09T01:04:31Z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